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44"/>
          <w:szCs w:val="44"/>
        </w:rPr>
      </w:pPr>
      <w:r>
        <w:drawing>
          <wp:anchor distT="0" distB="0" distL="114300" distR="114300" simplePos="0" relativeHeight="251663360" behindDoc="0" locked="0" layoutInCell="1" allowOverlap="1">
            <wp:simplePos x="0" y="0"/>
            <wp:positionH relativeFrom="column">
              <wp:posOffset>-1143000</wp:posOffset>
            </wp:positionH>
            <wp:positionV relativeFrom="paragraph">
              <wp:posOffset>-923925</wp:posOffset>
            </wp:positionV>
            <wp:extent cx="7741920" cy="10752455"/>
            <wp:effectExtent l="0" t="0" r="5080" b="1079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7741920" cy="10752455"/>
                    </a:xfrm>
                    <a:prstGeom prst="rect">
                      <a:avLst/>
                    </a:prstGeom>
                    <a:noFill/>
                    <a:ln>
                      <a:noFill/>
                    </a:ln>
                  </pic:spPr>
                </pic:pic>
              </a:graphicData>
            </a:graphic>
          </wp:anchor>
        </w:drawing>
      </w:r>
      <w:r>
        <w:rPr>
          <w:rFonts w:hint="eastAsia" w:ascii="方正小标宋简体" w:hAnsi="方正小标宋简体" w:eastAsia="方正小标宋简体" w:cs="方正小标宋简体"/>
          <w:sz w:val="44"/>
          <w:szCs w:val="44"/>
        </w:rPr>
        <w:br w:type="page"/>
      </w:r>
    </w:p>
    <w:p>
      <w:pPr>
        <w:jc w:val="center"/>
        <w:rPr>
          <w:rFonts w:ascii="宋体" w:hAnsi="宋体" w:eastAsia="宋体"/>
        </w:rPr>
        <w:sectPr>
          <w:headerReference r:id="rId3" w:type="default"/>
          <w:pgSz w:w="11906" w:h="16838"/>
          <w:pgMar w:top="1440" w:right="1800" w:bottom="1440" w:left="1800" w:header="851" w:footer="992" w:gutter="0"/>
          <w:cols w:space="425" w:num="1"/>
          <w:docGrid w:type="lines" w:linePitch="312" w:charSpace="0"/>
        </w:sectPr>
      </w:pPr>
    </w:p>
    <w:p>
      <w:pPr>
        <w:spacing w:line="720" w:lineRule="auto"/>
        <w:rPr>
          <w:rFonts w:ascii="黑体" w:hAnsi="黑体" w:eastAsia="黑体" w:cs="黑体"/>
          <w:b/>
          <w:bCs/>
          <w:sz w:val="52"/>
          <w:szCs w:val="52"/>
        </w:rPr>
      </w:pPr>
    </w:p>
    <w:p>
      <w:pPr>
        <w:pStyle w:val="2"/>
      </w:pPr>
    </w:p>
    <w:p>
      <w:pPr>
        <w:spacing w:line="720" w:lineRule="auto"/>
        <w:jc w:val="center"/>
        <w:rPr>
          <w:rFonts w:ascii="黑体" w:hAnsi="黑体" w:eastAsia="黑体" w:cs="黑体"/>
          <w:b/>
          <w:bCs/>
          <w:sz w:val="72"/>
          <w:szCs w:val="72"/>
        </w:rPr>
      </w:pPr>
      <w:r>
        <w:rPr>
          <w:rFonts w:hint="eastAsia" w:ascii="黑体" w:hAnsi="黑体" w:eastAsia="黑体" w:cs="黑体"/>
          <w:b/>
          <w:bCs/>
          <w:sz w:val="72"/>
          <w:szCs w:val="72"/>
        </w:rPr>
        <w:t>本科教学质量报告</w:t>
      </w:r>
    </w:p>
    <w:p>
      <w:pPr>
        <w:pStyle w:val="2"/>
        <w:jc w:val="center"/>
        <w:rPr>
          <w:rFonts w:ascii="黑体" w:hAnsi="黑体" w:eastAsia="黑体" w:cs="黑体"/>
          <w:bCs/>
          <w:sz w:val="72"/>
          <w:szCs w:val="72"/>
        </w:rPr>
      </w:pPr>
      <w:bookmarkStart w:id="0" w:name="_Toc26452"/>
      <w:r>
        <w:rPr>
          <w:rFonts w:hint="eastAsia" w:ascii="黑体" w:hAnsi="黑体" w:eastAsia="黑体" w:cs="黑体"/>
          <w:bCs/>
          <w:sz w:val="72"/>
          <w:szCs w:val="72"/>
        </w:rPr>
        <w:t>（2021-2022学年）</w:t>
      </w:r>
      <w:bookmarkEnd w:id="0"/>
    </w:p>
    <w:p>
      <w:pPr>
        <w:pStyle w:val="2"/>
      </w:pPr>
    </w:p>
    <w:p>
      <w:pPr>
        <w:jc w:val="center"/>
        <w:rPr>
          <w:rFonts w:ascii="宋体" w:hAnsi="宋体" w:eastAsia="宋体" w:cs="宋体"/>
          <w:b/>
          <w:bCs/>
          <w:sz w:val="36"/>
          <w:szCs w:val="36"/>
        </w:rPr>
      </w:pPr>
      <w:r>
        <w:rPr>
          <w:rFonts w:hint="eastAsia" w:ascii="宋体" w:hAnsi="宋体" w:eastAsia="宋体" w:cs="宋体"/>
          <w:b/>
          <w:bCs/>
          <w:sz w:val="84"/>
          <w:szCs w:val="84"/>
        </w:rPr>
        <w:drawing>
          <wp:inline distT="0" distB="0" distL="114300" distR="114300">
            <wp:extent cx="2985135" cy="2985135"/>
            <wp:effectExtent l="0" t="0" r="5715" b="5715"/>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pic:cNvPicPr>
                  </pic:nvPicPr>
                  <pic:blipFill>
                    <a:blip r:embed="rId8"/>
                    <a:stretch>
                      <a:fillRect/>
                    </a:stretch>
                  </pic:blipFill>
                  <pic:spPr>
                    <a:xfrm>
                      <a:off x="0" y="0"/>
                      <a:ext cx="2985135" cy="2985135"/>
                    </a:xfrm>
                    <a:prstGeom prst="rect">
                      <a:avLst/>
                    </a:prstGeom>
                  </pic:spPr>
                </pic:pic>
              </a:graphicData>
            </a:graphic>
          </wp:inline>
        </w:drawing>
      </w:r>
    </w:p>
    <w:p>
      <w:pPr>
        <w:spacing w:line="1000" w:lineRule="exact"/>
        <w:jc w:val="center"/>
        <w:rPr>
          <w:rFonts w:ascii="黑体" w:hAnsi="黑体" w:eastAsia="黑体" w:cs="黑体"/>
          <w:b/>
          <w:bCs/>
          <w:sz w:val="36"/>
          <w:szCs w:val="36"/>
        </w:rPr>
      </w:pPr>
    </w:p>
    <w:p>
      <w:pPr>
        <w:spacing w:line="1000" w:lineRule="exact"/>
        <w:jc w:val="center"/>
        <w:rPr>
          <w:rFonts w:ascii="黑体" w:hAnsi="黑体" w:eastAsia="黑体" w:cs="黑体"/>
          <w:b/>
          <w:bCs/>
          <w:sz w:val="36"/>
          <w:szCs w:val="36"/>
        </w:rPr>
      </w:pPr>
      <w:r>
        <w:rPr>
          <w:rFonts w:hint="eastAsia" w:ascii="黑体" w:hAnsi="黑体" w:eastAsia="黑体" w:cs="黑体"/>
          <w:b/>
          <w:bCs/>
          <w:sz w:val="36"/>
          <w:szCs w:val="36"/>
        </w:rPr>
        <w:t>泉州职业技术大学</w:t>
      </w:r>
    </w:p>
    <w:p>
      <w:pPr>
        <w:spacing w:line="1000" w:lineRule="exact"/>
        <w:jc w:val="center"/>
        <w:rPr>
          <w:rFonts w:ascii="黑体" w:hAnsi="黑体" w:eastAsia="黑体" w:cs="黑体"/>
          <w:b/>
          <w:bCs/>
          <w:sz w:val="36"/>
          <w:szCs w:val="36"/>
        </w:rPr>
      </w:pPr>
      <w:r>
        <w:rPr>
          <w:rFonts w:hint="eastAsia" w:ascii="黑体" w:hAnsi="黑体" w:eastAsia="黑体" w:cs="黑体"/>
          <w:b/>
          <w:bCs/>
          <w:sz w:val="36"/>
          <w:szCs w:val="36"/>
        </w:rPr>
        <w:t>二〇二二年十一月</w:t>
      </w:r>
    </w:p>
    <w:p>
      <w:pPr>
        <w:jc w:val="center"/>
        <w:rPr>
          <w:rFonts w:ascii="宋体" w:hAnsi="宋体" w:eastAsia="宋体"/>
        </w:rPr>
        <w:sectPr>
          <w:pgSz w:w="11906" w:h="16838"/>
          <w:pgMar w:top="1440" w:right="1800" w:bottom="1440" w:left="1800" w:header="851" w:footer="992" w:gutter="0"/>
          <w:cols w:space="425" w:num="1"/>
          <w:docGrid w:type="lines" w:linePitch="312" w:charSpace="0"/>
        </w:sectPr>
      </w:pPr>
    </w:p>
    <w:sdt>
      <w:sdtPr>
        <w:rPr>
          <w:rFonts w:ascii="宋体" w:hAnsi="宋体" w:eastAsia="宋体"/>
        </w:rPr>
        <w:id w:val="147475063"/>
        <w15:color w:val="DBDBDB"/>
        <w:docPartObj>
          <w:docPartGallery w:val="Table of Contents"/>
          <w:docPartUnique/>
        </w:docPartObj>
      </w:sdtPr>
      <w:sdtEndPr>
        <w:rPr>
          <w:rFonts w:ascii="宋体" w:hAnsi="宋体" w:eastAsia="宋体"/>
          <w:b/>
        </w:rPr>
      </w:sdtEndPr>
      <w:sdtContent>
        <w:p>
          <w:pPr>
            <w:spacing w:line="360" w:lineRule="auto"/>
            <w:jc w:val="center"/>
            <w:rPr>
              <w:rFonts w:hint="eastAsia" w:ascii="宋体" w:hAnsi="宋体" w:eastAsia="宋体" w:cs="宋体"/>
              <w:b/>
              <w:bCs/>
              <w:sz w:val="32"/>
              <w:szCs w:val="32"/>
            </w:rPr>
          </w:pPr>
          <w:r>
            <w:rPr>
              <w:rFonts w:hint="eastAsia" w:ascii="宋体" w:hAnsi="宋体" w:eastAsia="宋体" w:cs="宋体"/>
              <w:sz w:val="32"/>
              <w:szCs w:val="32"/>
            </w:rPr>
            <w:t xml:space="preserve"> </w:t>
          </w:r>
          <w:r>
            <w:rPr>
              <w:rFonts w:hint="eastAsia" w:ascii="宋体" w:hAnsi="宋体" w:eastAsia="宋体" w:cs="宋体"/>
              <w:b/>
              <w:bCs/>
              <w:sz w:val="32"/>
              <w:szCs w:val="32"/>
            </w:rPr>
            <w:t>目录</w:t>
          </w:r>
        </w:p>
        <w:p>
          <w:pPr>
            <w:pStyle w:val="16"/>
            <w:tabs>
              <w:tab w:val="right" w:leader="dot" w:pos="830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_Toc30051 </w:instrText>
          </w:r>
          <w:r>
            <w:rPr>
              <w:rFonts w:hint="eastAsia" w:ascii="宋体" w:hAnsi="宋体" w:eastAsia="宋体" w:cs="宋体"/>
              <w:sz w:val="24"/>
              <w:szCs w:val="24"/>
            </w:rPr>
            <w:fldChar w:fldCharType="separate"/>
          </w:r>
          <w:r>
            <w:rPr>
              <w:rFonts w:hint="eastAsia" w:ascii="宋体" w:hAnsi="宋体" w:eastAsia="宋体" w:cs="宋体"/>
              <w:sz w:val="24"/>
              <w:szCs w:val="24"/>
            </w:rPr>
            <w:t>前言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_Toc10753 </w:instrText>
          </w:r>
          <w:r>
            <w:rPr>
              <w:rFonts w:hint="eastAsia" w:ascii="宋体" w:hAnsi="宋体" w:eastAsia="宋体" w:cs="宋体"/>
              <w:sz w:val="24"/>
              <w:szCs w:val="24"/>
            </w:rPr>
            <w:fldChar w:fldCharType="separate"/>
          </w:r>
          <w:r>
            <w:rPr>
              <w:rFonts w:hint="eastAsia" w:ascii="宋体" w:hAnsi="宋体" w:eastAsia="宋体" w:cs="宋体"/>
              <w:sz w:val="24"/>
              <w:szCs w:val="24"/>
            </w:rPr>
            <w:t>一、本科教育基本情况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_Toc10753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_Toc9461 </w:instrText>
          </w:r>
          <w:r>
            <w:rPr>
              <w:rFonts w:hint="eastAsia" w:ascii="宋体" w:hAnsi="宋体" w:eastAsia="宋体" w:cs="宋体"/>
              <w:sz w:val="24"/>
              <w:szCs w:val="24"/>
            </w:rPr>
            <w:fldChar w:fldCharType="separate"/>
          </w:r>
          <w:r>
            <w:rPr>
              <w:rFonts w:hint="eastAsia" w:ascii="宋体" w:hAnsi="宋体" w:eastAsia="宋体" w:cs="宋体"/>
              <w:sz w:val="24"/>
              <w:szCs w:val="24"/>
            </w:rPr>
            <w:t>（一）人才培养目标及服务面向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_Toc9461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_Toc2593 </w:instrText>
          </w:r>
          <w:r>
            <w:rPr>
              <w:rFonts w:hint="eastAsia" w:ascii="宋体" w:hAnsi="宋体" w:eastAsia="宋体" w:cs="宋体"/>
              <w:sz w:val="24"/>
              <w:szCs w:val="24"/>
            </w:rPr>
            <w:fldChar w:fldCharType="separate"/>
          </w:r>
          <w:r>
            <w:rPr>
              <w:rFonts w:hint="eastAsia" w:ascii="宋体" w:hAnsi="宋体" w:eastAsia="宋体" w:cs="宋体"/>
              <w:sz w:val="24"/>
              <w:szCs w:val="24"/>
            </w:rPr>
            <w:t>（二）本科专业设置情况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_Toc14134 </w:instrText>
          </w:r>
          <w:r>
            <w:rPr>
              <w:rFonts w:hint="eastAsia" w:ascii="宋体" w:hAnsi="宋体" w:eastAsia="宋体" w:cs="宋体"/>
              <w:sz w:val="24"/>
              <w:szCs w:val="24"/>
            </w:rPr>
            <w:fldChar w:fldCharType="separate"/>
          </w:r>
          <w:r>
            <w:rPr>
              <w:rFonts w:hint="eastAsia" w:ascii="宋体" w:hAnsi="宋体" w:eastAsia="宋体" w:cs="宋体"/>
              <w:sz w:val="24"/>
              <w:szCs w:val="24"/>
            </w:rPr>
            <w:t>（三）全日制在校学生情况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_Toc14134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_Toc15900 </w:instrText>
          </w:r>
          <w:r>
            <w:rPr>
              <w:rFonts w:hint="eastAsia" w:ascii="宋体" w:hAnsi="宋体" w:eastAsia="宋体" w:cs="宋体"/>
              <w:sz w:val="24"/>
              <w:szCs w:val="24"/>
            </w:rPr>
            <w:fldChar w:fldCharType="separate"/>
          </w:r>
          <w:r>
            <w:rPr>
              <w:rFonts w:hint="eastAsia" w:ascii="宋体" w:hAnsi="宋体" w:eastAsia="宋体" w:cs="宋体"/>
              <w:sz w:val="24"/>
              <w:szCs w:val="24"/>
            </w:rPr>
            <w:t>（四）本科生源质量情况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_Toc15900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_Toc21285 </w:instrText>
          </w:r>
          <w:r>
            <w:rPr>
              <w:rFonts w:hint="eastAsia" w:ascii="宋体" w:hAnsi="宋体" w:eastAsia="宋体" w:cs="宋体"/>
              <w:sz w:val="24"/>
              <w:szCs w:val="24"/>
            </w:rPr>
            <w:fldChar w:fldCharType="separate"/>
          </w:r>
          <w:r>
            <w:rPr>
              <w:rFonts w:hint="eastAsia" w:ascii="宋体" w:hAnsi="宋体" w:eastAsia="宋体" w:cs="宋体"/>
              <w:sz w:val="24"/>
              <w:szCs w:val="24"/>
            </w:rPr>
            <w:t>二、师资与教学条件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_Toc21285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_Toc23115 </w:instrText>
          </w:r>
          <w:r>
            <w:rPr>
              <w:rFonts w:hint="eastAsia" w:ascii="宋体" w:hAnsi="宋体" w:eastAsia="宋体" w:cs="宋体"/>
              <w:sz w:val="24"/>
              <w:szCs w:val="24"/>
            </w:rPr>
            <w:fldChar w:fldCharType="separate"/>
          </w:r>
          <w:r>
            <w:rPr>
              <w:rFonts w:hint="eastAsia" w:ascii="宋体" w:hAnsi="宋体" w:eastAsia="宋体" w:cs="宋体"/>
              <w:sz w:val="24"/>
              <w:szCs w:val="24"/>
            </w:rPr>
            <w:t>（一）师资队伍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_Toc23115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_Toc26566 </w:instrText>
          </w:r>
          <w:r>
            <w:rPr>
              <w:rFonts w:hint="eastAsia" w:ascii="宋体" w:hAnsi="宋体" w:eastAsia="宋体" w:cs="宋体"/>
              <w:sz w:val="24"/>
              <w:szCs w:val="24"/>
            </w:rPr>
            <w:fldChar w:fldCharType="separate"/>
          </w:r>
          <w:r>
            <w:rPr>
              <w:rFonts w:hint="eastAsia" w:ascii="宋体" w:hAnsi="宋体" w:eastAsia="宋体" w:cs="宋体"/>
              <w:sz w:val="24"/>
              <w:szCs w:val="24"/>
            </w:rPr>
            <w:t>（二）专业实践教学课程设置情况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_Toc26566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_Toc13700 </w:instrText>
          </w:r>
          <w:r>
            <w:rPr>
              <w:rFonts w:hint="eastAsia" w:ascii="宋体" w:hAnsi="宋体" w:eastAsia="宋体" w:cs="宋体"/>
              <w:sz w:val="24"/>
              <w:szCs w:val="24"/>
            </w:rPr>
            <w:fldChar w:fldCharType="separate"/>
          </w:r>
          <w:r>
            <w:rPr>
              <w:rFonts w:hint="eastAsia" w:ascii="宋体" w:hAnsi="宋体" w:eastAsia="宋体" w:cs="宋体"/>
              <w:sz w:val="24"/>
              <w:szCs w:val="24"/>
            </w:rPr>
            <w:t>（三）教学经费投入情况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_Toc13700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_Toc3307 </w:instrText>
          </w:r>
          <w:r>
            <w:rPr>
              <w:rFonts w:hint="eastAsia" w:ascii="宋体" w:hAnsi="宋体" w:eastAsia="宋体" w:cs="宋体"/>
              <w:sz w:val="24"/>
              <w:szCs w:val="24"/>
            </w:rPr>
            <w:fldChar w:fldCharType="separate"/>
          </w:r>
          <w:r>
            <w:rPr>
              <w:rFonts w:hint="eastAsia" w:ascii="宋体" w:hAnsi="宋体" w:eastAsia="宋体" w:cs="宋体"/>
              <w:sz w:val="24"/>
              <w:szCs w:val="24"/>
            </w:rPr>
            <w:t>（四）教学用房</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_Toc6974 </w:instrText>
          </w:r>
          <w:r>
            <w:rPr>
              <w:rFonts w:hint="eastAsia" w:ascii="宋体" w:hAnsi="宋体" w:eastAsia="宋体" w:cs="宋体"/>
              <w:sz w:val="24"/>
              <w:szCs w:val="24"/>
            </w:rPr>
            <w:fldChar w:fldCharType="separate"/>
          </w:r>
          <w:r>
            <w:rPr>
              <w:rFonts w:hint="eastAsia" w:ascii="宋体" w:hAnsi="宋体" w:eastAsia="宋体" w:cs="宋体"/>
              <w:sz w:val="24"/>
              <w:szCs w:val="24"/>
            </w:rPr>
            <w:t>（五）图书馆及图书资源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_Toc6974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_Toc28511 </w:instrText>
          </w:r>
          <w:r>
            <w:rPr>
              <w:rFonts w:hint="eastAsia" w:ascii="宋体" w:hAnsi="宋体" w:eastAsia="宋体" w:cs="宋体"/>
              <w:sz w:val="24"/>
              <w:szCs w:val="24"/>
            </w:rPr>
            <w:fldChar w:fldCharType="separate"/>
          </w:r>
          <w:r>
            <w:rPr>
              <w:rFonts w:hint="eastAsia" w:ascii="宋体" w:hAnsi="宋体" w:eastAsia="宋体" w:cs="宋体"/>
              <w:sz w:val="24"/>
              <w:szCs w:val="24"/>
            </w:rPr>
            <w:t>（六）实验设施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_Toc28511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_Toc32672 </w:instrText>
          </w:r>
          <w:r>
            <w:rPr>
              <w:rFonts w:hint="eastAsia" w:ascii="宋体" w:hAnsi="宋体" w:eastAsia="宋体" w:cs="宋体"/>
              <w:sz w:val="24"/>
              <w:szCs w:val="24"/>
            </w:rPr>
            <w:fldChar w:fldCharType="separate"/>
          </w:r>
          <w:r>
            <w:rPr>
              <w:rFonts w:hint="eastAsia" w:ascii="宋体" w:hAnsi="宋体" w:eastAsia="宋体" w:cs="宋体"/>
              <w:sz w:val="24"/>
              <w:szCs w:val="24"/>
            </w:rPr>
            <w:t>（七）信息资源及应用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_Toc32672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_Toc19234 </w:instrText>
          </w:r>
          <w:r>
            <w:rPr>
              <w:rFonts w:hint="eastAsia" w:ascii="宋体" w:hAnsi="宋体" w:eastAsia="宋体" w:cs="宋体"/>
              <w:sz w:val="24"/>
              <w:szCs w:val="24"/>
            </w:rPr>
            <w:fldChar w:fldCharType="separate"/>
          </w:r>
          <w:r>
            <w:rPr>
              <w:rFonts w:hint="eastAsia" w:ascii="宋体" w:hAnsi="宋体" w:eastAsia="宋体" w:cs="宋体"/>
              <w:sz w:val="24"/>
              <w:szCs w:val="24"/>
            </w:rPr>
            <w:t>三、教学建设与改革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_Toc19234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_Toc19765 </w:instrText>
          </w:r>
          <w:r>
            <w:rPr>
              <w:rFonts w:hint="eastAsia" w:ascii="宋体" w:hAnsi="宋体" w:eastAsia="宋体" w:cs="宋体"/>
              <w:sz w:val="24"/>
              <w:szCs w:val="24"/>
            </w:rPr>
            <w:fldChar w:fldCharType="separate"/>
          </w:r>
          <w:r>
            <w:rPr>
              <w:rFonts w:hint="eastAsia" w:ascii="宋体" w:hAnsi="宋体" w:eastAsia="宋体" w:cs="宋体"/>
              <w:sz w:val="24"/>
              <w:szCs w:val="24"/>
            </w:rPr>
            <w:t>（一）专业建设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_Toc19765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_Toc19681 </w:instrText>
          </w:r>
          <w:r>
            <w:rPr>
              <w:rFonts w:hint="eastAsia" w:ascii="宋体" w:hAnsi="宋体" w:eastAsia="宋体" w:cs="宋体"/>
              <w:sz w:val="24"/>
              <w:szCs w:val="24"/>
            </w:rPr>
            <w:fldChar w:fldCharType="separate"/>
          </w:r>
          <w:r>
            <w:rPr>
              <w:rFonts w:hint="eastAsia" w:ascii="宋体" w:hAnsi="宋体" w:eastAsia="宋体" w:cs="宋体"/>
              <w:sz w:val="24"/>
              <w:szCs w:val="24"/>
            </w:rPr>
            <w:t>（二）课程建设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_Toc19681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_Toc24864 </w:instrText>
          </w:r>
          <w:r>
            <w:rPr>
              <w:rFonts w:hint="eastAsia" w:ascii="宋体" w:hAnsi="宋体" w:eastAsia="宋体" w:cs="宋体"/>
              <w:sz w:val="24"/>
              <w:szCs w:val="24"/>
            </w:rPr>
            <w:fldChar w:fldCharType="separate"/>
          </w:r>
          <w:r>
            <w:rPr>
              <w:rFonts w:hint="eastAsia" w:ascii="宋体" w:hAnsi="宋体" w:eastAsia="宋体" w:cs="宋体"/>
              <w:sz w:val="24"/>
              <w:szCs w:val="24"/>
            </w:rPr>
            <w:t>（三）教材建设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_Toc24864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_Toc15308 </w:instrText>
          </w:r>
          <w:r>
            <w:rPr>
              <w:rFonts w:hint="eastAsia" w:ascii="宋体" w:hAnsi="宋体" w:eastAsia="宋体" w:cs="宋体"/>
              <w:sz w:val="24"/>
              <w:szCs w:val="24"/>
            </w:rPr>
            <w:fldChar w:fldCharType="separate"/>
          </w:r>
          <w:r>
            <w:rPr>
              <w:rFonts w:hint="eastAsia" w:ascii="宋体" w:hAnsi="宋体" w:eastAsia="宋体" w:cs="宋体"/>
              <w:sz w:val="24"/>
              <w:szCs w:val="24"/>
            </w:rPr>
            <w:t>（四）教学改革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_Toc15308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_Toc12798 </w:instrText>
          </w:r>
          <w:r>
            <w:rPr>
              <w:rFonts w:hint="eastAsia" w:ascii="宋体" w:hAnsi="宋体" w:eastAsia="宋体" w:cs="宋体"/>
              <w:sz w:val="24"/>
              <w:szCs w:val="24"/>
            </w:rPr>
            <w:fldChar w:fldCharType="separate"/>
          </w:r>
          <w:r>
            <w:rPr>
              <w:rFonts w:hint="eastAsia" w:ascii="宋体" w:hAnsi="宋体" w:eastAsia="宋体" w:cs="宋体"/>
              <w:sz w:val="24"/>
              <w:szCs w:val="24"/>
            </w:rPr>
            <w:t>（五）课堂教学规模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_Toc12798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_Toc6004 </w:instrText>
          </w:r>
          <w:r>
            <w:rPr>
              <w:rFonts w:hint="eastAsia" w:ascii="宋体" w:hAnsi="宋体" w:eastAsia="宋体" w:cs="宋体"/>
              <w:sz w:val="24"/>
              <w:szCs w:val="24"/>
            </w:rPr>
            <w:fldChar w:fldCharType="separate"/>
          </w:r>
          <w:r>
            <w:rPr>
              <w:rFonts w:hint="eastAsia" w:ascii="宋体" w:hAnsi="宋体" w:eastAsia="宋体" w:cs="宋体"/>
              <w:sz w:val="24"/>
              <w:szCs w:val="24"/>
            </w:rPr>
            <w:t>（六）实践教学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_Toc6004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_Toc16096 </w:instrText>
          </w:r>
          <w:r>
            <w:rPr>
              <w:rFonts w:hint="eastAsia" w:ascii="宋体" w:hAnsi="宋体" w:eastAsia="宋体" w:cs="宋体"/>
              <w:sz w:val="24"/>
              <w:szCs w:val="24"/>
            </w:rPr>
            <w:fldChar w:fldCharType="separate"/>
          </w:r>
          <w:r>
            <w:rPr>
              <w:rFonts w:hint="eastAsia" w:ascii="宋体" w:hAnsi="宋体" w:eastAsia="宋体" w:cs="宋体"/>
              <w:sz w:val="24"/>
              <w:szCs w:val="24"/>
            </w:rPr>
            <w:t>（七）创新创业教育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_Toc29026 </w:instrText>
          </w:r>
          <w:r>
            <w:rPr>
              <w:rFonts w:hint="eastAsia" w:ascii="宋体" w:hAnsi="宋体" w:eastAsia="宋体" w:cs="宋体"/>
              <w:sz w:val="24"/>
              <w:szCs w:val="24"/>
            </w:rPr>
            <w:fldChar w:fldCharType="separate"/>
          </w:r>
          <w:r>
            <w:rPr>
              <w:rFonts w:hint="eastAsia" w:ascii="宋体" w:hAnsi="宋体" w:eastAsia="宋体" w:cs="宋体"/>
              <w:sz w:val="24"/>
              <w:szCs w:val="24"/>
            </w:rPr>
            <w:t>四、专业培养能力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_Toc29026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_Toc3837 </w:instrText>
          </w:r>
          <w:r>
            <w:rPr>
              <w:rFonts w:hint="eastAsia" w:ascii="宋体" w:hAnsi="宋体" w:eastAsia="宋体" w:cs="宋体"/>
              <w:sz w:val="24"/>
              <w:szCs w:val="24"/>
            </w:rPr>
            <w:fldChar w:fldCharType="separate"/>
          </w:r>
          <w:r>
            <w:rPr>
              <w:rFonts w:hint="eastAsia" w:ascii="宋体" w:hAnsi="宋体" w:eastAsia="宋体" w:cs="宋体"/>
              <w:sz w:val="24"/>
              <w:szCs w:val="24"/>
            </w:rPr>
            <w:t>（一）本科培养目标定位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_Toc3837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_Toc18552 </w:instrText>
          </w:r>
          <w:r>
            <w:rPr>
              <w:rFonts w:hint="eastAsia" w:ascii="宋体" w:hAnsi="宋体" w:eastAsia="宋体" w:cs="宋体"/>
              <w:sz w:val="24"/>
              <w:szCs w:val="24"/>
            </w:rPr>
            <w:fldChar w:fldCharType="separate"/>
          </w:r>
          <w:r>
            <w:rPr>
              <w:rFonts w:hint="eastAsia" w:ascii="宋体" w:hAnsi="宋体" w:eastAsia="宋体" w:cs="宋体"/>
              <w:sz w:val="24"/>
              <w:szCs w:val="24"/>
            </w:rPr>
            <w:t>（二）专业基本教学条件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_Toc18552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_Toc4111 </w:instrText>
          </w:r>
          <w:r>
            <w:rPr>
              <w:rFonts w:hint="eastAsia" w:ascii="宋体" w:hAnsi="宋体" w:eastAsia="宋体" w:cs="宋体"/>
              <w:sz w:val="24"/>
              <w:szCs w:val="24"/>
            </w:rPr>
            <w:fldChar w:fldCharType="separate"/>
          </w:r>
          <w:r>
            <w:rPr>
              <w:rFonts w:hint="eastAsia" w:ascii="宋体" w:hAnsi="宋体" w:eastAsia="宋体" w:cs="宋体"/>
              <w:sz w:val="24"/>
              <w:szCs w:val="24"/>
            </w:rPr>
            <w:t>（三）落实立德树人机制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_Toc4111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_Toc7272 </w:instrText>
          </w:r>
          <w:r>
            <w:rPr>
              <w:rFonts w:hint="eastAsia" w:ascii="宋体" w:hAnsi="宋体" w:eastAsia="宋体" w:cs="宋体"/>
              <w:sz w:val="24"/>
              <w:szCs w:val="24"/>
            </w:rPr>
            <w:fldChar w:fldCharType="separate"/>
          </w:r>
          <w:r>
            <w:rPr>
              <w:rFonts w:hint="eastAsia" w:ascii="宋体" w:hAnsi="宋体" w:eastAsia="宋体" w:cs="宋体"/>
              <w:sz w:val="24"/>
              <w:szCs w:val="24"/>
            </w:rPr>
            <w:t>（四）教学管理与学风建设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_Toc7272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_Toc20596 </w:instrText>
          </w:r>
          <w:r>
            <w:rPr>
              <w:rFonts w:hint="eastAsia" w:ascii="宋体" w:hAnsi="宋体" w:eastAsia="宋体" w:cs="宋体"/>
              <w:sz w:val="24"/>
              <w:szCs w:val="24"/>
            </w:rPr>
            <w:fldChar w:fldCharType="separate"/>
          </w:r>
          <w:r>
            <w:rPr>
              <w:rFonts w:hint="eastAsia" w:ascii="宋体" w:hAnsi="宋体" w:eastAsia="宋体" w:cs="宋体"/>
              <w:sz w:val="24"/>
              <w:szCs w:val="24"/>
            </w:rPr>
            <w:t>五、质量保障体系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_Toc20596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_Toc25019 </w:instrText>
          </w:r>
          <w:r>
            <w:rPr>
              <w:rFonts w:hint="eastAsia" w:ascii="宋体" w:hAnsi="宋体" w:eastAsia="宋体" w:cs="宋体"/>
              <w:sz w:val="24"/>
              <w:szCs w:val="24"/>
            </w:rPr>
            <w:fldChar w:fldCharType="separate"/>
          </w:r>
          <w:r>
            <w:rPr>
              <w:rFonts w:hint="eastAsia" w:ascii="宋体" w:hAnsi="宋体" w:eastAsia="宋体" w:cs="宋体"/>
              <w:sz w:val="24"/>
              <w:szCs w:val="24"/>
            </w:rPr>
            <w:t>（一）学校人才培养中心地位落实情况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_Toc25019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_Toc15248 </w:instrText>
          </w:r>
          <w:r>
            <w:rPr>
              <w:rFonts w:hint="eastAsia" w:ascii="宋体" w:hAnsi="宋体" w:eastAsia="宋体" w:cs="宋体"/>
              <w:sz w:val="24"/>
              <w:szCs w:val="24"/>
            </w:rPr>
            <w:fldChar w:fldCharType="separate"/>
          </w:r>
          <w:r>
            <w:rPr>
              <w:rFonts w:hint="eastAsia" w:ascii="宋体" w:hAnsi="宋体" w:eastAsia="宋体" w:cs="宋体"/>
              <w:sz w:val="24"/>
              <w:szCs w:val="24"/>
            </w:rPr>
            <w:t>（二）校领导班子研究本科教学工作情况，出台的相关政策措施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_Toc15248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_Toc835 </w:instrText>
          </w:r>
          <w:r>
            <w:rPr>
              <w:rFonts w:hint="eastAsia" w:ascii="宋体" w:hAnsi="宋体" w:eastAsia="宋体" w:cs="宋体"/>
              <w:sz w:val="24"/>
              <w:szCs w:val="24"/>
            </w:rPr>
            <w:fldChar w:fldCharType="separate"/>
          </w:r>
          <w:r>
            <w:rPr>
              <w:rFonts w:hint="eastAsia" w:ascii="宋体" w:hAnsi="宋体" w:eastAsia="宋体" w:cs="宋体"/>
              <w:sz w:val="24"/>
              <w:szCs w:val="24"/>
            </w:rPr>
            <w:t>（三）教学质量评估与监控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_Toc835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_Toc29186 </w:instrText>
          </w:r>
          <w:r>
            <w:rPr>
              <w:rFonts w:hint="eastAsia" w:ascii="宋体" w:hAnsi="宋体" w:eastAsia="宋体" w:cs="宋体"/>
              <w:sz w:val="24"/>
              <w:szCs w:val="24"/>
            </w:rPr>
            <w:fldChar w:fldCharType="separate"/>
          </w:r>
          <w:r>
            <w:rPr>
              <w:rFonts w:hint="eastAsia" w:ascii="宋体" w:hAnsi="宋体" w:eastAsia="宋体" w:cs="宋体"/>
              <w:sz w:val="24"/>
              <w:szCs w:val="24"/>
            </w:rPr>
            <w:t>（四）开展专业评估、专业认证、国际评估情况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_Toc29186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_Toc17391 </w:instrText>
          </w:r>
          <w:r>
            <w:rPr>
              <w:rFonts w:hint="eastAsia" w:ascii="宋体" w:hAnsi="宋体" w:eastAsia="宋体" w:cs="宋体"/>
              <w:sz w:val="24"/>
              <w:szCs w:val="24"/>
            </w:rPr>
            <w:fldChar w:fldCharType="separate"/>
          </w:r>
          <w:r>
            <w:rPr>
              <w:rFonts w:hint="eastAsia" w:ascii="宋体" w:hAnsi="宋体" w:eastAsia="宋体" w:cs="宋体"/>
              <w:sz w:val="24"/>
              <w:szCs w:val="24"/>
            </w:rPr>
            <w:t>六、学生学习成效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_Toc17391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_Toc25760 </w:instrText>
          </w:r>
          <w:r>
            <w:rPr>
              <w:rFonts w:hint="eastAsia" w:ascii="宋体" w:hAnsi="宋体" w:eastAsia="宋体" w:cs="宋体"/>
              <w:sz w:val="24"/>
              <w:szCs w:val="24"/>
            </w:rPr>
            <w:fldChar w:fldCharType="separate"/>
          </w:r>
          <w:r>
            <w:rPr>
              <w:rFonts w:hint="eastAsia" w:ascii="宋体" w:hAnsi="宋体" w:eastAsia="宋体" w:cs="宋体"/>
              <w:sz w:val="24"/>
              <w:szCs w:val="24"/>
            </w:rPr>
            <w:t>（一）学生学习满意度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_Toc25760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_Toc11343 </w:instrText>
          </w:r>
          <w:r>
            <w:rPr>
              <w:rFonts w:hint="eastAsia" w:ascii="宋体" w:hAnsi="宋体" w:eastAsia="宋体" w:cs="宋体"/>
              <w:sz w:val="24"/>
              <w:szCs w:val="24"/>
            </w:rPr>
            <w:fldChar w:fldCharType="separate"/>
          </w:r>
          <w:r>
            <w:rPr>
              <w:rFonts w:hint="eastAsia" w:ascii="宋体" w:hAnsi="宋体" w:eastAsia="宋体" w:cs="宋体"/>
              <w:sz w:val="24"/>
              <w:szCs w:val="24"/>
            </w:rPr>
            <w:t>（二）学生获奖情况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_Toc11343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_Toc20585 </w:instrText>
          </w:r>
          <w:r>
            <w:rPr>
              <w:rFonts w:hint="eastAsia" w:ascii="宋体" w:hAnsi="宋体" w:eastAsia="宋体" w:cs="宋体"/>
              <w:sz w:val="24"/>
              <w:szCs w:val="24"/>
            </w:rPr>
            <w:fldChar w:fldCharType="separate"/>
          </w:r>
          <w:r>
            <w:rPr>
              <w:rFonts w:hint="eastAsia" w:ascii="宋体" w:hAnsi="宋体" w:eastAsia="宋体" w:cs="宋体"/>
              <w:sz w:val="24"/>
              <w:szCs w:val="24"/>
            </w:rPr>
            <w:t>（三）社会评价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_Toc20585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_Toc18779 </w:instrText>
          </w:r>
          <w:r>
            <w:rPr>
              <w:rFonts w:hint="eastAsia" w:ascii="宋体" w:hAnsi="宋体" w:eastAsia="宋体" w:cs="宋体"/>
              <w:sz w:val="24"/>
              <w:szCs w:val="24"/>
            </w:rPr>
            <w:fldChar w:fldCharType="separate"/>
          </w:r>
          <w:r>
            <w:rPr>
              <w:rFonts w:hint="eastAsia" w:ascii="宋体" w:hAnsi="宋体" w:eastAsia="宋体" w:cs="宋体"/>
              <w:sz w:val="24"/>
              <w:szCs w:val="24"/>
            </w:rPr>
            <w:t>七、特色与发展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_Toc18779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_Toc27322 </w:instrText>
          </w:r>
          <w:r>
            <w:rPr>
              <w:rFonts w:hint="eastAsia" w:ascii="宋体" w:hAnsi="宋体" w:eastAsia="宋体" w:cs="宋体"/>
              <w:sz w:val="24"/>
              <w:szCs w:val="24"/>
            </w:rPr>
            <w:fldChar w:fldCharType="separate"/>
          </w:r>
          <w:r>
            <w:rPr>
              <w:rFonts w:hint="eastAsia" w:ascii="宋体" w:hAnsi="宋体" w:eastAsia="宋体" w:cs="宋体"/>
              <w:sz w:val="24"/>
              <w:szCs w:val="24"/>
            </w:rPr>
            <w:t>（一）参与国家标准制定，重构职本课程体系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_Toc27322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_Toc28205 </w:instrText>
          </w:r>
          <w:r>
            <w:rPr>
              <w:rFonts w:hint="eastAsia" w:ascii="宋体" w:hAnsi="宋体" w:eastAsia="宋体" w:cs="宋体"/>
              <w:sz w:val="24"/>
              <w:szCs w:val="24"/>
            </w:rPr>
            <w:fldChar w:fldCharType="separate"/>
          </w:r>
          <w:r>
            <w:rPr>
              <w:rFonts w:hint="eastAsia" w:ascii="宋体" w:hAnsi="宋体" w:eastAsia="宋体" w:cs="宋体"/>
              <w:sz w:val="24"/>
              <w:szCs w:val="24"/>
            </w:rPr>
            <w:t>（二）推进校企深度合作，打造联合育人特色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_Toc28205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_Toc18580 </w:instrText>
          </w:r>
          <w:r>
            <w:rPr>
              <w:rFonts w:hint="eastAsia" w:ascii="宋体" w:hAnsi="宋体" w:eastAsia="宋体" w:cs="宋体"/>
              <w:sz w:val="24"/>
              <w:szCs w:val="24"/>
            </w:rPr>
            <w:fldChar w:fldCharType="separate"/>
          </w:r>
          <w:r>
            <w:rPr>
              <w:rFonts w:hint="eastAsia" w:ascii="宋体" w:hAnsi="宋体" w:eastAsia="宋体" w:cs="宋体"/>
              <w:sz w:val="24"/>
              <w:szCs w:val="24"/>
            </w:rPr>
            <w:t>（三）校地融合工学结合，构建实践育人体系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_Toc18580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_Toc30928 </w:instrText>
          </w:r>
          <w:r>
            <w:rPr>
              <w:rFonts w:hint="eastAsia" w:ascii="宋体" w:hAnsi="宋体" w:eastAsia="宋体" w:cs="宋体"/>
              <w:sz w:val="24"/>
              <w:szCs w:val="24"/>
            </w:rPr>
            <w:fldChar w:fldCharType="separate"/>
          </w:r>
          <w:r>
            <w:rPr>
              <w:rFonts w:hint="eastAsia" w:ascii="宋体" w:hAnsi="宋体" w:eastAsia="宋体" w:cs="宋体"/>
              <w:sz w:val="24"/>
              <w:szCs w:val="24"/>
            </w:rPr>
            <w:t>（四）“学做传”一体化教学，深化通识课程改革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_Toc30928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_Toc8375 </w:instrText>
          </w:r>
          <w:r>
            <w:rPr>
              <w:rFonts w:hint="eastAsia" w:ascii="宋体" w:hAnsi="宋体" w:eastAsia="宋体" w:cs="宋体"/>
              <w:sz w:val="24"/>
              <w:szCs w:val="24"/>
            </w:rPr>
            <w:fldChar w:fldCharType="separate"/>
          </w:r>
          <w:r>
            <w:rPr>
              <w:rFonts w:hint="eastAsia" w:ascii="宋体" w:hAnsi="宋体" w:eastAsia="宋体" w:cs="宋体"/>
              <w:sz w:val="24"/>
              <w:szCs w:val="24"/>
            </w:rPr>
            <w:t>八、挑战与对策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_Toc8375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_Toc23130 </w:instrText>
          </w:r>
          <w:r>
            <w:rPr>
              <w:rFonts w:hint="eastAsia" w:ascii="宋体" w:hAnsi="宋体" w:eastAsia="宋体" w:cs="宋体"/>
              <w:sz w:val="24"/>
              <w:szCs w:val="24"/>
            </w:rPr>
            <w:fldChar w:fldCharType="separate"/>
          </w:r>
          <w:r>
            <w:rPr>
              <w:rFonts w:hint="eastAsia" w:ascii="宋体" w:hAnsi="宋体" w:eastAsia="宋体" w:cs="宋体"/>
              <w:sz w:val="24"/>
              <w:szCs w:val="24"/>
            </w:rPr>
            <w:t>（一）职业本科教育改革试点挑战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_Toc23130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_Toc18392 </w:instrText>
          </w:r>
          <w:r>
            <w:rPr>
              <w:rFonts w:hint="eastAsia" w:ascii="宋体" w:hAnsi="宋体" w:eastAsia="宋体" w:cs="宋体"/>
              <w:sz w:val="24"/>
              <w:szCs w:val="24"/>
            </w:rPr>
            <w:fldChar w:fldCharType="separate"/>
          </w:r>
          <w:r>
            <w:rPr>
              <w:rFonts w:hint="eastAsia" w:ascii="宋体" w:hAnsi="宋体" w:eastAsia="宋体" w:cs="宋体"/>
              <w:sz w:val="24"/>
              <w:szCs w:val="24"/>
            </w:rPr>
            <w:t>（二）职业本科教育改革试点对策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_Toc18392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spacing w:line="360" w:lineRule="auto"/>
            <w:jc w:val="center"/>
          </w:pPr>
          <w:r>
            <w:rPr>
              <w:rFonts w:hint="eastAsia" w:ascii="宋体" w:hAnsi="宋体" w:eastAsia="宋体" w:cs="宋体"/>
              <w:sz w:val="24"/>
              <w:szCs w:val="24"/>
            </w:rPr>
            <w:fldChar w:fldCharType="end"/>
          </w:r>
        </w:p>
      </w:sdtContent>
    </w:sdt>
    <w:p>
      <w:pPr>
        <w:pStyle w:val="3"/>
        <w:spacing w:line="0" w:lineRule="atLeast"/>
        <w:jc w:val="center"/>
        <w:sectPr>
          <w:pgSz w:w="11906" w:h="16838"/>
          <w:pgMar w:top="1440" w:right="1800" w:bottom="1440" w:left="1800" w:header="851" w:footer="992" w:gutter="0"/>
          <w:cols w:space="425" w:num="1"/>
          <w:docGrid w:type="lines" w:linePitch="312" w:charSpace="0"/>
        </w:sectPr>
      </w:pPr>
      <w:bookmarkStart w:id="1" w:name="_Toc13415"/>
      <w:bookmarkStart w:id="2" w:name="_Toc24303"/>
    </w:p>
    <w:p>
      <w:pPr>
        <w:pStyle w:val="3"/>
        <w:spacing w:line="240" w:lineRule="auto"/>
        <w:jc w:val="left"/>
        <w:rPr>
          <w:sz w:val="30"/>
          <w:szCs w:val="30"/>
        </w:rPr>
      </w:pPr>
      <w:bookmarkStart w:id="3" w:name="_Toc27149"/>
      <w:bookmarkStart w:id="4" w:name="_Toc31797"/>
      <w:bookmarkStart w:id="5" w:name="_Toc30051"/>
      <w:bookmarkStart w:id="6" w:name="_Toc19813"/>
      <w:r>
        <w:rPr>
          <w:rFonts w:hint="eastAsia"/>
          <w:sz w:val="30"/>
          <w:szCs w:val="30"/>
        </w:rPr>
        <w:t>前言</w:t>
      </w:r>
      <w:bookmarkEnd w:id="3"/>
      <w:bookmarkEnd w:id="4"/>
      <w:bookmarkEnd w:id="5"/>
      <w:bookmarkEnd w:id="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泉州职业技术大学，前身系创办于1986年的福建省摩托汽车培训学校，1997年举办中职，2002年升格高职，更名为泉州中营职业学院（后更名为泉州理工职业学院），2019年升格本科并更名为泉州职业技术大学，是全国首批、福建省目前唯一的本科层次职业教育</w:t>
      </w:r>
      <w:r>
        <w:rPr>
          <w:rFonts w:hint="eastAsia" w:ascii="宋体" w:hAnsi="宋体" w:eastAsia="宋体" w:cs="宋体"/>
          <w:sz w:val="24"/>
          <w:lang w:val="en-US" w:eastAsia="zh-CN"/>
        </w:rPr>
        <w:t>试点学校</w:t>
      </w:r>
      <w:r>
        <w:rPr>
          <w:rFonts w:hint="eastAsia" w:ascii="宋体" w:hAnsi="宋体" w:eastAsia="宋体" w:cs="宋体"/>
          <w:sz w:val="24"/>
        </w:rPr>
        <w:t>。学校实行“双院制”管理模式，设置10个学院（18个职业本科专业、24个高职专业）、6个书院，截至2022年9月30日共有全日制在校生12138人。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坚定职业教育类型定位，坚守非营利办学初衷，坚持“扎根晋江、服务泉州、面向福建”，累计为区域产业培养全日制毕业生近3万人，培训技术技能人才10余万人次。据全国高校毕业生就业管理系统，近四届毕业生一次性就业率平均98.12%。据麦可思《应届毕业生培养质量评价报告》，近四届毕业生就业满意度高出全国平均水平15个百分点，学校是全国非营利民办高校联盟成员单位，省职业教育先进单位，在福建省民办高校规范办学评估中获得第一名；荣获全国高职院校“一校一品”体育工作示范基地、全国非遗特色校、全国民办高校创新创业教育实践基地建设奖、福建省首家生态文明建设示范校；2022年被列入福建省“三全育人”综合改革试点高校。</w:t>
      </w:r>
    </w:p>
    <w:p>
      <w:pPr>
        <w:pStyle w:val="3"/>
        <w:keepNext w:val="0"/>
        <w:keepLines w:val="0"/>
        <w:pageBreakBefore w:val="0"/>
        <w:widowControl w:val="0"/>
        <w:kinsoku/>
        <w:wordWrap/>
        <w:overflowPunct/>
        <w:topLinePunct w:val="0"/>
        <w:autoSpaceDE/>
        <w:autoSpaceDN/>
        <w:bidi w:val="0"/>
        <w:adjustRightInd/>
        <w:snapToGrid/>
        <w:spacing w:line="240" w:lineRule="auto"/>
        <w:jc w:val="left"/>
        <w:textAlignment w:val="auto"/>
        <w:rPr>
          <w:sz w:val="30"/>
          <w:szCs w:val="30"/>
        </w:rPr>
      </w:pPr>
      <w:bookmarkStart w:id="7" w:name="_Toc11114"/>
      <w:bookmarkStart w:id="8" w:name="_Toc3078"/>
      <w:bookmarkStart w:id="9" w:name="_Toc32534"/>
      <w:bookmarkStart w:id="10" w:name="_Toc10753"/>
      <w:r>
        <w:rPr>
          <w:rFonts w:hint="eastAsia"/>
          <w:sz w:val="30"/>
          <w:szCs w:val="30"/>
        </w:rPr>
        <w:t>一、本科教育基本情况</w:t>
      </w:r>
      <w:bookmarkEnd w:id="1"/>
      <w:bookmarkEnd w:id="2"/>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jc w:val="left"/>
        <w:textAlignment w:val="auto"/>
        <w:outlineLvl w:val="1"/>
        <w:rPr>
          <w:rStyle w:val="24"/>
          <w:rFonts w:ascii="黑体" w:hAnsi="黑体" w:eastAsia="黑体" w:cs="黑体"/>
          <w:sz w:val="28"/>
          <w:szCs w:val="28"/>
        </w:rPr>
      </w:pPr>
      <w:bookmarkStart w:id="11" w:name="_Toc24296"/>
      <w:bookmarkStart w:id="12" w:name="_Toc30034"/>
      <w:bookmarkStart w:id="13" w:name="_Toc9441"/>
      <w:bookmarkStart w:id="14" w:name="_Toc9461"/>
      <w:bookmarkStart w:id="15" w:name="_Toc2192"/>
      <w:bookmarkStart w:id="16" w:name="_Toc2898"/>
      <w:r>
        <w:rPr>
          <w:rStyle w:val="24"/>
          <w:rFonts w:hint="eastAsia" w:ascii="黑体" w:hAnsi="黑体" w:eastAsia="黑体" w:cs="黑体"/>
          <w:sz w:val="28"/>
          <w:szCs w:val="28"/>
        </w:rPr>
        <w:t>（一）人才培养目标及服务面向</w:t>
      </w:r>
      <w:bookmarkEnd w:id="11"/>
      <w:bookmarkEnd w:id="12"/>
      <w:bookmarkEnd w:id="13"/>
      <w:bookmarkEnd w:id="14"/>
      <w:bookmarkEnd w:id="15"/>
      <w:bookmarkEnd w:id="16"/>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bookmarkStart w:id="17" w:name="_Toc26865"/>
      <w:r>
        <w:rPr>
          <w:rFonts w:hint="eastAsia" w:ascii="宋体" w:hAnsi="宋体" w:eastAsia="宋体" w:cs="宋体"/>
          <w:sz w:val="24"/>
        </w:rPr>
        <w:t>学校秉持“忠诚、勤奋、创新、奉献”的校训，“产业伙伴型大学”的办学定位，“创业者的摇篮”的育人定位，着力培养具有“健康长寿心灵美、就业创业能力强、造福社会贡献大”特质、具备“一宽三强（宽理论基础、强实践能力、强创新创业能力、强终身学习能力）”特点的高层次技术技能人才。</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学校加快实现从专科层次职业学校向本科层次职业学校的转型升级，创新发展本科层次职业教育，扎根晋江、服务泉州、面向福建，坚持专业建设对接区域产业集群，深化校地、校企合作，完善人才培养体系。并根据自身特点和人才培养的需要，主动与具备条件的企业在人才培养、技术创新、就业创业、社会服务、文化传承等方面开展合作，提升职业教育影响力。</w:t>
      </w:r>
    </w:p>
    <w:p>
      <w:pPr>
        <w:keepNext w:val="0"/>
        <w:keepLines w:val="0"/>
        <w:pageBreakBefore w:val="0"/>
        <w:widowControl w:val="0"/>
        <w:numPr>
          <w:ilvl w:val="255"/>
          <w:numId w:val="0"/>
        </w:numPr>
        <w:kinsoku/>
        <w:wordWrap/>
        <w:overflowPunct/>
        <w:topLinePunct w:val="0"/>
        <w:autoSpaceDE/>
        <w:autoSpaceDN/>
        <w:bidi w:val="0"/>
        <w:adjustRightInd/>
        <w:snapToGrid/>
        <w:jc w:val="left"/>
        <w:textAlignment w:val="auto"/>
        <w:outlineLvl w:val="1"/>
        <w:rPr>
          <w:rStyle w:val="24"/>
          <w:rFonts w:ascii="黑体" w:hAnsi="黑体" w:eastAsia="黑体" w:cs="黑体"/>
          <w:sz w:val="28"/>
          <w:szCs w:val="28"/>
        </w:rPr>
      </w:pPr>
      <w:bookmarkStart w:id="18" w:name="_Toc12786"/>
      <w:bookmarkStart w:id="19" w:name="_Toc23700"/>
      <w:bookmarkStart w:id="20" w:name="_Toc27078"/>
      <w:bookmarkStart w:id="21" w:name="_Toc2593"/>
      <w:r>
        <w:rPr>
          <w:rStyle w:val="24"/>
          <w:rFonts w:hint="eastAsia" w:ascii="黑体" w:hAnsi="黑体" w:eastAsia="黑体" w:cs="黑体"/>
          <w:sz w:val="28"/>
          <w:szCs w:val="28"/>
        </w:rPr>
        <w:t>（二）本科专业设置情况</w:t>
      </w:r>
      <w:bookmarkEnd w:id="17"/>
      <w:bookmarkEnd w:id="18"/>
      <w:bookmarkEnd w:id="19"/>
      <w:bookmarkEnd w:id="20"/>
      <w:bookmarkEnd w:id="21"/>
      <w:bookmarkStart w:id="22" w:name="_Toc3260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23" w:name="_Toc21226"/>
      <w:r>
        <w:rPr>
          <w:rFonts w:hint="eastAsia" w:ascii="宋体" w:hAnsi="宋体" w:eastAsia="宋体" w:cs="宋体"/>
          <w:sz w:val="24"/>
        </w:rPr>
        <w:t>依据《本科层次职业教育专业设置管理办法（试行）》，坚持“建设一个专业（群），深度合作一个以上知名企业，服务区域一个产业”，围绕区域装备制造、石油化工、建材家居、新一代信息技术、纺织鞋服及现代服务业等新兴、主导和支柱产业，瞄准区域产业高端和高端产业，结合学校办学特色与定位，加强人才需求论证、专业设置可行性分析，科学设置职业本科专业。近年来，学校紧密结合区域产业升级和社会经济发展实际，重点考虑行业需求、办学基础、专业成熟度等因素，建立专业布局动态优化调整机制。目前学校形成石油化工、智能制造、新一代信息技术、新能源汽车、绿色人居、商贸物流等8大专业群，工学、管理学、教育学、艺术学等4个学科门类。截至2022年9月30日，学校有在校生专业共计35个，其中，本科专业18个（7个专业招收专升本学生），17个专科专业，在校生12138人；学校设置的如油气储运技术、石油化工技术等专业，填补省内紧缺人才培养的专业空白，构成与地方产业发展紧密对接的专业体系。本科专业设置情况详见表1。</w:t>
      </w:r>
    </w:p>
    <w:p>
      <w:pPr>
        <w:widowControl/>
        <w:jc w:val="center"/>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表1：202</w:t>
      </w:r>
      <w:r>
        <w:rPr>
          <w:rFonts w:hint="eastAsia" w:ascii="宋体" w:hAnsi="宋体" w:eastAsia="宋体" w:cs="宋体"/>
          <w:bCs/>
          <w:color w:val="000000" w:themeColor="text1"/>
          <w:szCs w:val="21"/>
          <w:lang w:eastAsia="zh-CN"/>
          <w14:textFill>
            <w14:solidFill>
              <w14:schemeClr w14:val="tx1"/>
            </w14:solidFill>
          </w14:textFill>
        </w:rPr>
        <w:t>—</w:t>
      </w:r>
      <w:r>
        <w:rPr>
          <w:rFonts w:hint="eastAsia" w:ascii="宋体" w:hAnsi="宋体" w:eastAsia="宋体" w:cs="宋体"/>
          <w:bCs/>
          <w:color w:val="000000" w:themeColor="text1"/>
          <w:szCs w:val="21"/>
          <w14:textFill>
            <w14:solidFill>
              <w14:schemeClr w14:val="tx1"/>
            </w14:solidFill>
          </w14:textFill>
        </w:rPr>
        <w:t>年-2022年本科专业设置一览表</w:t>
      </w:r>
    </w:p>
    <w:tbl>
      <w:tblPr>
        <w:tblStyle w:val="20"/>
        <w:tblW w:w="5271" w:type="pct"/>
        <w:jc w:val="center"/>
        <w:tblLayout w:type="fixed"/>
        <w:tblCellMar>
          <w:top w:w="0" w:type="dxa"/>
          <w:left w:w="108" w:type="dxa"/>
          <w:bottom w:w="0" w:type="dxa"/>
          <w:right w:w="108" w:type="dxa"/>
        </w:tblCellMar>
      </w:tblPr>
      <w:tblGrid>
        <w:gridCol w:w="599"/>
        <w:gridCol w:w="2359"/>
        <w:gridCol w:w="1067"/>
        <w:gridCol w:w="1905"/>
        <w:gridCol w:w="1173"/>
        <w:gridCol w:w="749"/>
        <w:gridCol w:w="1132"/>
      </w:tblGrid>
      <w:tr>
        <w:tblPrEx>
          <w:tblCellMar>
            <w:top w:w="0" w:type="dxa"/>
            <w:left w:w="108" w:type="dxa"/>
            <w:bottom w:w="0" w:type="dxa"/>
            <w:right w:w="108" w:type="dxa"/>
          </w:tblCellMar>
        </w:tblPrEx>
        <w:trPr>
          <w:trHeight w:val="3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131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专业名称</w:t>
            </w:r>
          </w:p>
        </w:tc>
        <w:tc>
          <w:tcPr>
            <w:tcW w:w="59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专业代码</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所属单位名称</w:t>
            </w:r>
          </w:p>
        </w:tc>
        <w:tc>
          <w:tcPr>
            <w:tcW w:w="65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专业设置</w:t>
            </w:r>
          </w:p>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年份</w:t>
            </w:r>
          </w:p>
        </w:tc>
        <w:tc>
          <w:tcPr>
            <w:tcW w:w="417"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学制</w:t>
            </w:r>
          </w:p>
        </w:tc>
        <w:tc>
          <w:tcPr>
            <w:tcW w:w="629"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授予学位</w:t>
            </w:r>
          </w:p>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门类</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汽车服务工程技术</w:t>
            </w:r>
          </w:p>
        </w:tc>
        <w:tc>
          <w:tcPr>
            <w:tcW w:w="5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300203</w:t>
            </w:r>
          </w:p>
        </w:tc>
        <w:tc>
          <w:tcPr>
            <w:tcW w:w="10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中营汽车学院</w:t>
            </w:r>
          </w:p>
        </w:tc>
        <w:tc>
          <w:tcPr>
            <w:tcW w:w="6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3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机械设计制造及自动化</w:t>
            </w:r>
          </w:p>
        </w:tc>
        <w:tc>
          <w:tcPr>
            <w:tcW w:w="5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260101</w:t>
            </w:r>
          </w:p>
        </w:tc>
        <w:tc>
          <w:tcPr>
            <w:tcW w:w="105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智能制造学院</w:t>
            </w:r>
          </w:p>
        </w:tc>
        <w:tc>
          <w:tcPr>
            <w:tcW w:w="6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机械设计制造及自动化</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260101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智能制造学院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计算机应用工程</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310201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国科数字产业学院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计算机应用工程</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310201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国科数字产业学院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软件工程技术</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310203</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国科数字产业学院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2020</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信息安全与管理</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310207</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国科数字产业学院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油气储运工程</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220401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能源学院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应用化工技术</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270201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能源学院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建筑工程</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240301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人居环境学院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建筑工程</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240301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人居环境学院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工程造价</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240501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人居环境学院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电子商务</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330701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9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电子商务</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330701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大数据与财务管理</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330301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大数据与财务管理</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330301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9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大数据与会计</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330302</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2020</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酒店管理</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340102</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商学院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管理学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学前教育</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370101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学前教育</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370101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w:t>
            </w:r>
          </w:p>
        </w:tc>
      </w:tr>
      <w:tr>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休闲体育</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370302</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2020</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数字媒体艺术</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350103</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艺术传媒学院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数字媒体艺术</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350103</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艺术传媒学院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2022</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服装与服饰设计</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350105</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艺术传媒学院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艺术学</w:t>
            </w:r>
          </w:p>
        </w:tc>
      </w:tr>
      <w:tr>
        <w:tblPrEx>
          <w:tblCellMar>
            <w:top w:w="0" w:type="dxa"/>
            <w:left w:w="108" w:type="dxa"/>
            <w:bottom w:w="0" w:type="dxa"/>
            <w:right w:w="108" w:type="dxa"/>
          </w:tblCellMar>
        </w:tblPrEx>
        <w:trPr>
          <w:trHeight w:val="255"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1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工艺美术</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350101</w:t>
            </w:r>
          </w:p>
        </w:tc>
        <w:tc>
          <w:tcPr>
            <w:tcW w:w="10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艺术传媒学院</w:t>
            </w:r>
          </w:p>
        </w:tc>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2020</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艺术学</w:t>
            </w:r>
          </w:p>
        </w:tc>
      </w:tr>
    </w:tbl>
    <w:p>
      <w:pPr>
        <w:keepNext w:val="0"/>
        <w:keepLines w:val="0"/>
        <w:pageBreakBefore w:val="0"/>
        <w:widowControl w:val="0"/>
        <w:numPr>
          <w:ilvl w:val="255"/>
          <w:numId w:val="0"/>
        </w:numPr>
        <w:kinsoku/>
        <w:wordWrap/>
        <w:overflowPunct/>
        <w:topLinePunct w:val="0"/>
        <w:autoSpaceDE/>
        <w:autoSpaceDN/>
        <w:bidi w:val="0"/>
        <w:adjustRightInd/>
        <w:snapToGrid/>
        <w:jc w:val="left"/>
        <w:textAlignment w:val="auto"/>
        <w:outlineLvl w:val="1"/>
        <w:rPr>
          <w:rStyle w:val="24"/>
          <w:rFonts w:ascii="黑体" w:hAnsi="黑体" w:eastAsia="黑体" w:cs="黑体"/>
          <w:sz w:val="28"/>
          <w:szCs w:val="28"/>
        </w:rPr>
      </w:pPr>
      <w:bookmarkStart w:id="24" w:name="_Toc21855"/>
      <w:bookmarkStart w:id="25" w:name="_Toc27940"/>
      <w:bookmarkStart w:id="26" w:name="_Toc14134"/>
      <w:bookmarkStart w:id="27" w:name="_Toc7600"/>
      <w:r>
        <w:rPr>
          <w:rStyle w:val="24"/>
          <w:rFonts w:hint="eastAsia" w:ascii="黑体" w:hAnsi="黑体" w:eastAsia="黑体" w:cs="黑体"/>
          <w:sz w:val="28"/>
          <w:szCs w:val="28"/>
        </w:rPr>
        <w:t>（三）全日制在校学生情况</w:t>
      </w:r>
      <w:bookmarkEnd w:id="22"/>
      <w:bookmarkEnd w:id="23"/>
      <w:bookmarkEnd w:id="24"/>
      <w:bookmarkEnd w:id="25"/>
      <w:bookmarkEnd w:id="26"/>
      <w:bookmarkEnd w:id="27"/>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2021-2022学年全日制在校生10195人，分布在8个二级学院。其中本科生5926人，所占比例为58.13%，专科生4269人，所占比例为41.87%。</w:t>
      </w:r>
    </w:p>
    <w:p>
      <w:pPr>
        <w:widowControl/>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表2：2022年在校学生情况表</w:t>
      </w:r>
    </w:p>
    <w:tbl>
      <w:tblPr>
        <w:tblStyle w:val="20"/>
        <w:tblW w:w="53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105"/>
        <w:gridCol w:w="2456"/>
        <w:gridCol w:w="875"/>
        <w:gridCol w:w="858"/>
        <w:gridCol w:w="887"/>
        <w:gridCol w:w="1473"/>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bookmarkStart w:id="28" w:name="_Toc19181"/>
            <w:bookmarkStart w:id="29" w:name="_Toc20121"/>
            <w:r>
              <w:rPr>
                <w:rFonts w:hint="eastAsia" w:ascii="宋体" w:hAnsi="宋体" w:eastAsia="宋体" w:cs="宋体"/>
                <w:kern w:val="0"/>
                <w:sz w:val="21"/>
                <w:szCs w:val="21"/>
                <w:lang w:bidi="ar"/>
              </w:rPr>
              <w:t>序号</w:t>
            </w:r>
          </w:p>
        </w:tc>
        <w:tc>
          <w:tcPr>
            <w:tcW w:w="600"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学院名称</w:t>
            </w: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专业名称</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层次</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各专业人数</w:t>
            </w:r>
          </w:p>
        </w:tc>
        <w:tc>
          <w:tcPr>
            <w:tcW w:w="482"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本专科人数</w:t>
            </w:r>
          </w:p>
        </w:tc>
        <w:tc>
          <w:tcPr>
            <w:tcW w:w="800"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学院本科专业学生占比（%）</w:t>
            </w:r>
          </w:p>
        </w:tc>
        <w:tc>
          <w:tcPr>
            <w:tcW w:w="492"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全校本科生占比（%）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中营汽车学院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汽车服务工程技术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274</w:t>
            </w:r>
          </w:p>
        </w:tc>
        <w:tc>
          <w:tcPr>
            <w:tcW w:w="482" w:type="pc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274</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40.00%</w:t>
            </w:r>
          </w:p>
        </w:tc>
        <w:tc>
          <w:tcPr>
            <w:tcW w:w="492" w:type="pct"/>
            <w:vMerge w:val="restart"/>
            <w:shd w:val="clear" w:color="F9FBFA" w:fill="auto"/>
            <w:noWrap/>
            <w:vAlign w:val="center"/>
          </w:tcPr>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p>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58.13%</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widowControl/>
              <w:textAlignment w:val="center"/>
              <w:rPr>
                <w:rFonts w:hint="eastAsia" w:ascii="宋体" w:hAnsi="宋体" w:eastAsia="宋体" w:cs="宋体"/>
                <w:sz w:val="21"/>
                <w:szCs w:val="21"/>
              </w:rPr>
            </w:pPr>
            <w:r>
              <w:rPr>
                <w:rFonts w:hint="eastAsia" w:ascii="宋体" w:hAnsi="宋体" w:eastAsia="宋体" w:cs="宋体"/>
                <w:sz w:val="21"/>
                <w:szCs w:val="21"/>
              </w:rPr>
              <w:t>58.13%</w:t>
            </w:r>
          </w:p>
          <w:p>
            <w:pPr>
              <w:pStyle w:val="2"/>
              <w:rPr>
                <w:rFonts w:hint="eastAsia" w:ascii="宋体" w:hAnsi="宋体" w:eastAsia="宋体" w:cs="宋体"/>
                <w:sz w:val="21"/>
                <w:szCs w:val="21"/>
              </w:rPr>
            </w:pPr>
          </w:p>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汽车制造与试验技术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174</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411</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新能源汽车技术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237</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智能制造学院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机械设计制造及自动化</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477</w:t>
            </w:r>
          </w:p>
        </w:tc>
        <w:tc>
          <w:tcPr>
            <w:tcW w:w="482" w:type="pc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477</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53.66%</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机电一体化技术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253</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412</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计算机应用技术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7</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电子信息工程技术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55</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国科数字产业学院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计算机应用工程</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568</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940</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100.00%</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计算机应用工程</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专升本</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软件工程技术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288</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11</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能源学院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油气储运工程</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326</w:t>
            </w:r>
          </w:p>
        </w:tc>
        <w:tc>
          <w:tcPr>
            <w:tcW w:w="482" w:type="pc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326</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66.80%</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油气储运技术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21</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162</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13</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石油化工技术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141</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人居环境学院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建筑工程</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475</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484</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30.63%</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15</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建筑工程</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专升本</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环境艺术设计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182</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1096</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17</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工程造价</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454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18</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建筑室内设计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459</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19</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建筑工程技术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20</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商学院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电子商务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540</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1777</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51.67%</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21</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电子商务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专升本</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146</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22</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大数据与财务管理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576</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23</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大数据与财务管理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专升本</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74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24</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大数据与会计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374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jc w:val="center"/>
              <w:rPr>
                <w:rFonts w:hint="eastAsia" w:ascii="宋体" w:hAnsi="宋体" w:eastAsia="宋体" w:cs="宋体"/>
                <w:sz w:val="21"/>
                <w:szCs w:val="21"/>
              </w:rPr>
            </w:pP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酒店管理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67</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25</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大数据与会计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165</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1662</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26</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电子商务</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57</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27</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商务英语</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282</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28</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市场营销</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250</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29</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现代物流管理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211</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30</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工商企业管理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264</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31</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金融服务与管理</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293</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33</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酒店管理与数字化运营</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140</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34</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教育学院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学前教育</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659</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975</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81.73%</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35</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学前教育</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专升本</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177</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36</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休闲体育</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139</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37</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休闲体育</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49</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218</w:t>
            </w: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38</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学前教育</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169</w:t>
            </w:r>
          </w:p>
        </w:tc>
        <w:tc>
          <w:tcPr>
            <w:tcW w:w="482" w:type="pct"/>
            <w:vMerge w:val="continue"/>
            <w:shd w:val="clear" w:color="F9FBFA" w:fill="auto"/>
            <w:noWrap/>
            <w:vAlign w:val="center"/>
          </w:tcPr>
          <w:p>
            <w:pPr>
              <w:jc w:val="center"/>
              <w:rPr>
                <w:rFonts w:hint="eastAsia" w:ascii="宋体" w:hAnsi="宋体" w:eastAsia="宋体" w:cs="宋体"/>
                <w:sz w:val="21"/>
                <w:szCs w:val="21"/>
              </w:rPr>
            </w:pPr>
          </w:p>
        </w:tc>
        <w:tc>
          <w:tcPr>
            <w:tcW w:w="800" w:type="pct"/>
            <w:vMerge w:val="continue"/>
            <w:shd w:val="clear" w:color="F9FBFA"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39</w:t>
            </w:r>
          </w:p>
        </w:tc>
        <w:tc>
          <w:tcPr>
            <w:tcW w:w="600" w:type="pct"/>
            <w:vMerge w:val="restar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艺术传媒学院</w:t>
            </w:r>
          </w:p>
        </w:tc>
        <w:tc>
          <w:tcPr>
            <w:tcW w:w="1334"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数字媒体艺术</w:t>
            </w:r>
          </w:p>
        </w:tc>
        <w:tc>
          <w:tcPr>
            <w:tcW w:w="475"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F9FBFA"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344</w:t>
            </w:r>
          </w:p>
        </w:tc>
        <w:tc>
          <w:tcPr>
            <w:tcW w:w="482"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673</w:t>
            </w:r>
          </w:p>
        </w:tc>
        <w:tc>
          <w:tcPr>
            <w:tcW w:w="800" w:type="pct"/>
            <w:vMerge w:val="restart"/>
            <w:shd w:val="clear" w:color="F9FBFA"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68.60%</w:t>
            </w: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40</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服装与服饰设计</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209</w:t>
            </w:r>
          </w:p>
        </w:tc>
        <w:tc>
          <w:tcPr>
            <w:tcW w:w="482" w:type="pct"/>
            <w:vMerge w:val="continue"/>
            <w:shd w:val="clear" w:color="auto" w:fill="auto"/>
            <w:noWrap/>
            <w:vAlign w:val="center"/>
          </w:tcPr>
          <w:p>
            <w:pPr>
              <w:jc w:val="center"/>
              <w:rPr>
                <w:rFonts w:hint="eastAsia" w:ascii="宋体" w:hAnsi="宋体" w:eastAsia="宋体" w:cs="宋体"/>
                <w:sz w:val="21"/>
                <w:szCs w:val="21"/>
              </w:rPr>
            </w:pPr>
          </w:p>
        </w:tc>
        <w:tc>
          <w:tcPr>
            <w:tcW w:w="800" w:type="pct"/>
            <w:vMerge w:val="continue"/>
            <w:shd w:val="clear" w:color="auto"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41</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工艺美术</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本科</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120</w:t>
            </w:r>
          </w:p>
        </w:tc>
        <w:tc>
          <w:tcPr>
            <w:tcW w:w="482" w:type="pct"/>
            <w:vMerge w:val="continue"/>
            <w:shd w:val="clear" w:color="auto" w:fill="auto"/>
            <w:noWrap/>
            <w:vAlign w:val="center"/>
          </w:tcPr>
          <w:p>
            <w:pPr>
              <w:jc w:val="center"/>
              <w:rPr>
                <w:rFonts w:hint="eastAsia" w:ascii="宋体" w:hAnsi="宋体" w:eastAsia="宋体" w:cs="宋体"/>
                <w:sz w:val="21"/>
                <w:szCs w:val="21"/>
              </w:rPr>
            </w:pPr>
          </w:p>
        </w:tc>
        <w:tc>
          <w:tcPr>
            <w:tcW w:w="800" w:type="pct"/>
            <w:vMerge w:val="continue"/>
            <w:shd w:val="clear" w:color="auto"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42</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服装与服饰设计</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47</w:t>
            </w:r>
          </w:p>
        </w:tc>
        <w:tc>
          <w:tcPr>
            <w:tcW w:w="482" w:type="pct"/>
            <w:vMerge w:val="restart"/>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308</w:t>
            </w:r>
          </w:p>
        </w:tc>
        <w:tc>
          <w:tcPr>
            <w:tcW w:w="800" w:type="pct"/>
            <w:vMerge w:val="continue"/>
            <w:shd w:val="clear" w:color="auto"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43</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数字媒体技术</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107</w:t>
            </w:r>
          </w:p>
        </w:tc>
        <w:tc>
          <w:tcPr>
            <w:tcW w:w="482" w:type="pct"/>
            <w:vMerge w:val="continue"/>
            <w:shd w:val="clear" w:color="auto" w:fill="auto"/>
            <w:noWrap/>
            <w:vAlign w:val="center"/>
          </w:tcPr>
          <w:p>
            <w:pPr>
              <w:jc w:val="center"/>
              <w:rPr>
                <w:rFonts w:hint="eastAsia" w:ascii="宋体" w:hAnsi="宋体" w:eastAsia="宋体" w:cs="宋体"/>
                <w:sz w:val="21"/>
                <w:szCs w:val="21"/>
              </w:rPr>
            </w:pPr>
          </w:p>
        </w:tc>
        <w:tc>
          <w:tcPr>
            <w:tcW w:w="800" w:type="pct"/>
            <w:vMerge w:val="continue"/>
            <w:shd w:val="clear" w:color="auto"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7"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44</w:t>
            </w:r>
          </w:p>
        </w:tc>
        <w:tc>
          <w:tcPr>
            <w:tcW w:w="600" w:type="pct"/>
            <w:vMerge w:val="continue"/>
            <w:shd w:val="clear" w:color="auto" w:fill="auto"/>
            <w:vAlign w:val="center"/>
          </w:tcPr>
          <w:p>
            <w:pPr>
              <w:jc w:val="center"/>
              <w:rPr>
                <w:rFonts w:hint="eastAsia" w:ascii="宋体" w:hAnsi="宋体" w:eastAsia="宋体" w:cs="宋体"/>
                <w:sz w:val="21"/>
                <w:szCs w:val="21"/>
              </w:rPr>
            </w:pPr>
          </w:p>
        </w:tc>
        <w:tc>
          <w:tcPr>
            <w:tcW w:w="1334"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产品艺术设计</w:t>
            </w:r>
          </w:p>
        </w:tc>
        <w:tc>
          <w:tcPr>
            <w:tcW w:w="475"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专科</w:t>
            </w:r>
          </w:p>
        </w:tc>
        <w:tc>
          <w:tcPr>
            <w:tcW w:w="466" w:type="pct"/>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154</w:t>
            </w:r>
          </w:p>
        </w:tc>
        <w:tc>
          <w:tcPr>
            <w:tcW w:w="482" w:type="pct"/>
            <w:vMerge w:val="continue"/>
            <w:shd w:val="clear" w:color="auto" w:fill="auto"/>
            <w:noWrap/>
            <w:vAlign w:val="center"/>
          </w:tcPr>
          <w:p>
            <w:pPr>
              <w:jc w:val="center"/>
              <w:rPr>
                <w:rFonts w:hint="eastAsia" w:ascii="宋体" w:hAnsi="宋体" w:eastAsia="宋体" w:cs="宋体"/>
                <w:sz w:val="21"/>
                <w:szCs w:val="21"/>
              </w:rPr>
            </w:pPr>
          </w:p>
        </w:tc>
        <w:tc>
          <w:tcPr>
            <w:tcW w:w="800" w:type="pct"/>
            <w:vMerge w:val="continue"/>
            <w:shd w:val="clear" w:color="auto" w:fill="auto"/>
            <w:noWrap/>
            <w:vAlign w:val="center"/>
          </w:tcPr>
          <w:p>
            <w:pPr>
              <w:jc w:val="center"/>
              <w:rPr>
                <w:rFonts w:hint="eastAsia" w:ascii="宋体" w:hAnsi="宋体" w:eastAsia="宋体" w:cs="宋体"/>
                <w:sz w:val="21"/>
                <w:szCs w:val="21"/>
              </w:rPr>
            </w:pPr>
          </w:p>
        </w:tc>
        <w:tc>
          <w:tcPr>
            <w:tcW w:w="492" w:type="pct"/>
            <w:vMerge w:val="continue"/>
            <w:shd w:val="clear" w:color="auto" w:fill="FCE4D6"/>
            <w:noWrap/>
            <w:vAlign w:val="center"/>
          </w:tcPr>
          <w:p>
            <w:pPr>
              <w:jc w:val="center"/>
              <w:rPr>
                <w:rFonts w:hint="eastAsia" w:ascii="宋体" w:hAnsi="宋体" w:eastAsia="宋体" w:cs="宋体"/>
                <w:sz w:val="21"/>
                <w:szCs w:val="21"/>
              </w:rPr>
            </w:pPr>
          </w:p>
        </w:tc>
      </w:tr>
    </w:tbl>
    <w:p>
      <w:pPr>
        <w:jc w:val="left"/>
        <w:outlineLvl w:val="1"/>
        <w:rPr>
          <w:rStyle w:val="24"/>
          <w:rFonts w:ascii="黑体" w:hAnsi="黑体" w:eastAsia="黑体" w:cs="黑体"/>
          <w:sz w:val="28"/>
          <w:szCs w:val="28"/>
        </w:rPr>
      </w:pPr>
      <w:bookmarkStart w:id="30" w:name="_Toc3175"/>
      <w:bookmarkStart w:id="31" w:name="_Toc26797"/>
      <w:bookmarkStart w:id="32" w:name="_Toc5137"/>
      <w:bookmarkStart w:id="33" w:name="_Toc15900"/>
      <w:r>
        <w:rPr>
          <w:rStyle w:val="24"/>
          <w:rFonts w:hint="eastAsia" w:ascii="黑体" w:hAnsi="黑体" w:eastAsia="黑体" w:cs="黑体"/>
          <w:sz w:val="28"/>
          <w:szCs w:val="28"/>
        </w:rPr>
        <w:t>（四）本科生源质量情况</w:t>
      </w:r>
      <w:bookmarkEnd w:id="28"/>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34" w:name="_Toc9738"/>
      <w:r>
        <w:rPr>
          <w:rFonts w:hint="eastAsia" w:ascii="宋体" w:hAnsi="宋体" w:eastAsia="宋体" w:cs="宋体"/>
          <w:sz w:val="24"/>
        </w:rPr>
        <w:t>2022年我校共有18个本科专业、9个专科专业面向全国9个省份招生，其中本科专业应用化工技术、信息安全与管理、工程造价是首次招生。学校共投放2600个本科招生计划，录取2592人，面向省内计划招收2302人、录取2294人，报到2235人，报到率达97.43%。面向省外计划招收298人，共录取298人，报到275人，报到率为92.28%。面向福建省高职院校招收专升本录取816人，报到728人，报到率为89.22%，延续中职－高职－职业本科一体化的职业教育体系，2022年各批次招生完成情况均创历史新高。在继续面向浙江省、广东省、山东省、河南省、四川省、江西省，海南省，新增面向湖南省招生招收本科批次学生。其中浙江省、海南省的录取率、报到率均达100%，广东省、四川省、江西省、湖南省报到率均达到90%以上。省外计划完成率比去年同比增长6.96个百分点，各省市招生生源质量均有大幅度提升。</w:t>
      </w:r>
      <w:bookmarkEnd w:id="3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2022年录取的2592名本科生中，本科线上考生1701人，线上率达65.63%，去年同比增长21个百分点。2022年面向普通高考招生，共录取1944人，报到1891人，报到率达97.27%，比去年同比增长3.9%，生源报到率有较大提升。在面向中职类招收本科生中，共录取350人，报到344人，报到率达98.29%。因福建省高职分类考试本科招生计划少，中职生源群体较大，切线高，整体录取考生生源质量高，且就读意向较高，为中职考生提升学历更是拓宽了渠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2022年面向福建省高职院校招收专升本学生，增加了美术类、新闻传播类、机械设计类等3个类别招生，最终共录取816人，报到728人，报到率为89.22%，比去年同比增长8.04%。专升本考生生源质量高，学习主动性强。</w:t>
      </w:r>
    </w:p>
    <w:p>
      <w:pPr>
        <w:pStyle w:val="3"/>
        <w:spacing w:line="240" w:lineRule="auto"/>
        <w:jc w:val="left"/>
        <w:rPr>
          <w:sz w:val="30"/>
          <w:szCs w:val="30"/>
        </w:rPr>
      </w:pPr>
      <w:bookmarkStart w:id="35" w:name="_Toc29647"/>
      <w:bookmarkStart w:id="36" w:name="_Toc3850"/>
      <w:bookmarkStart w:id="37" w:name="_Toc12756"/>
      <w:bookmarkStart w:id="38" w:name="_Toc3524"/>
      <w:bookmarkStart w:id="39" w:name="_Toc2957"/>
      <w:bookmarkStart w:id="40" w:name="_Toc21285"/>
      <w:r>
        <w:rPr>
          <w:rFonts w:hint="eastAsia"/>
          <w:sz w:val="30"/>
          <w:szCs w:val="30"/>
        </w:rPr>
        <w:t>二、师资与教学条件</w:t>
      </w:r>
      <w:bookmarkEnd w:id="35"/>
      <w:bookmarkEnd w:id="36"/>
      <w:bookmarkEnd w:id="37"/>
      <w:bookmarkEnd w:id="38"/>
      <w:bookmarkEnd w:id="39"/>
      <w:bookmarkEnd w:id="40"/>
    </w:p>
    <w:p>
      <w:pPr>
        <w:jc w:val="left"/>
        <w:outlineLvl w:val="1"/>
        <w:rPr>
          <w:rStyle w:val="24"/>
          <w:rFonts w:ascii="黑体" w:hAnsi="黑体" w:eastAsia="黑体" w:cs="黑体"/>
          <w:sz w:val="28"/>
          <w:szCs w:val="28"/>
        </w:rPr>
      </w:pPr>
      <w:bookmarkStart w:id="41" w:name="_Toc23115"/>
      <w:bookmarkStart w:id="42" w:name="_Toc16109"/>
      <w:bookmarkStart w:id="43" w:name="_Toc32667"/>
      <w:bookmarkStart w:id="44" w:name="_Toc6345"/>
      <w:bookmarkStart w:id="45" w:name="_Toc28252"/>
      <w:bookmarkStart w:id="46" w:name="_Toc6788"/>
      <w:r>
        <w:rPr>
          <w:rStyle w:val="24"/>
          <w:rFonts w:hint="eastAsia" w:ascii="黑体" w:hAnsi="黑体" w:eastAsia="黑体" w:cs="黑体"/>
          <w:sz w:val="28"/>
          <w:szCs w:val="28"/>
        </w:rPr>
        <w:t>（一）师资队伍</w:t>
      </w:r>
      <w:bookmarkEnd w:id="41"/>
      <w:bookmarkEnd w:id="42"/>
      <w:bookmarkEnd w:id="43"/>
      <w:bookmarkEnd w:id="44"/>
      <w:bookmarkEnd w:id="45"/>
      <w:bookmarkEnd w:id="46"/>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rPr>
      </w:pPr>
      <w:bookmarkStart w:id="47" w:name="_Toc26439"/>
      <w:r>
        <w:rPr>
          <w:rFonts w:hint="eastAsia" w:ascii="宋体" w:hAnsi="宋体" w:eastAsia="宋体" w:cs="宋体"/>
          <w:sz w:val="24"/>
        </w:rPr>
        <w:t>学校现有专职专任教师509人，其中具有副高级及以上专业技术职务的教师153人（正高32人），占比30.06%；具有硕士以上学位教师255人，占比50.10%；“双师型”专业教师205人，占比51.64%。学校现有兼职专任教师338人。</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其中，国家百千万人才工程百人层次人选1人、享受国务院特殊津贴3人、省级名校长培养计划1人、省高校杰出青年科研人才培养计划1人、省新世纪优秀人才培养计划1人、省级教学名师4人、省级专业带头人3人、省级五一劳动奖章1人、省级技术能手1人、省级技能大师工作室1个、泉州市技能大师3人、泉州市技能大师工作室1个、泉州市名师工作室1个、泉州市金牌工人1人、泉州工匠1人、晋江市技能大师工作室1个、泉州高层次人才及晋江市高层次人才226人。</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2021-2022学年，共开设本科课程459门，教授职称教师承担的课程门数为39门，任课教授师资占教授总数的95%。</w:t>
      </w:r>
    </w:p>
    <w:bookmarkEnd w:id="47"/>
    <w:p>
      <w:pPr>
        <w:widowControl/>
        <w:spacing w:line="240" w:lineRule="auto"/>
        <w:jc w:val="left"/>
        <w:outlineLvl w:val="1"/>
        <w:rPr>
          <w:rStyle w:val="24"/>
          <w:rFonts w:ascii="黑体" w:hAnsi="黑体" w:eastAsia="黑体" w:cs="黑体"/>
          <w:sz w:val="28"/>
          <w:szCs w:val="28"/>
        </w:rPr>
      </w:pPr>
      <w:bookmarkStart w:id="48" w:name="_Toc26566"/>
      <w:bookmarkStart w:id="49" w:name="_Toc2064"/>
      <w:bookmarkStart w:id="50" w:name="_Toc12109"/>
      <w:bookmarkStart w:id="51" w:name="_Toc7960"/>
      <w:bookmarkStart w:id="52" w:name="_Toc25330"/>
      <w:bookmarkStart w:id="53" w:name="_Toc10813"/>
      <w:r>
        <w:rPr>
          <w:rStyle w:val="24"/>
          <w:rFonts w:hint="eastAsia" w:ascii="黑体" w:hAnsi="黑体" w:eastAsia="黑体" w:cs="黑体"/>
          <w:sz w:val="28"/>
          <w:szCs w:val="28"/>
        </w:rPr>
        <w:t>（二）</w:t>
      </w:r>
      <w:r>
        <w:rPr>
          <w:rStyle w:val="24"/>
          <w:rFonts w:ascii="黑体" w:hAnsi="黑体" w:eastAsia="黑体" w:cs="黑体"/>
          <w:sz w:val="28"/>
          <w:szCs w:val="28"/>
        </w:rPr>
        <w:t>专业实践教学课程设置情况</w:t>
      </w:r>
      <w:bookmarkEnd w:id="48"/>
      <w:bookmarkEnd w:id="49"/>
      <w:bookmarkEnd w:id="50"/>
      <w:bookmarkEnd w:id="51"/>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仿宋_GB2312" w:hAnsi="仿宋_GB2312" w:eastAsia="仿宋_GB2312" w:cs="仿宋_GB2312"/>
          <w:sz w:val="32"/>
          <w:szCs w:val="32"/>
        </w:rPr>
      </w:pPr>
      <w:r>
        <w:rPr>
          <w:rFonts w:hint="eastAsia" w:ascii="宋体" w:hAnsi="宋体" w:eastAsia="宋体" w:cs="宋体"/>
          <w:sz w:val="24"/>
        </w:rPr>
        <w:t>学校高度重视实践教学工作，把深化实践教学改革，培养学生实践与创新能力，作为我校教育教学改革工作的重点；强化对实践教学工作的领导，完善政策、统筹安排、加大投入。针对15个本科及5个专升本专业，科学拟定人才培养方案中课内实验、独立实验、集中实践、毕业实习、毕业设计（论文）等实践教学环节，实践教学各环节总学时占全部学时的比例达50%以上。各专业实践教学开设情况见表3。</w:t>
      </w:r>
    </w:p>
    <w:p>
      <w:pPr>
        <w:widowControl/>
        <w:jc w:val="center"/>
        <w:rPr>
          <w:rFonts w:asciiTheme="minorEastAsia" w:hAnsiTheme="minorEastAsia" w:cstheme="minorEastAsia"/>
          <w:bCs/>
          <w:color w:val="000000" w:themeColor="text1"/>
          <w:szCs w:val="21"/>
          <w14:textFill>
            <w14:solidFill>
              <w14:schemeClr w14:val="tx1"/>
            </w14:solidFill>
          </w14:textFill>
        </w:rPr>
      </w:pPr>
      <w:r>
        <w:rPr>
          <w:rFonts w:hint="eastAsia" w:asciiTheme="minorEastAsia" w:hAnsiTheme="minorEastAsia" w:cstheme="minorEastAsia"/>
          <w:bCs/>
          <w:color w:val="000000" w:themeColor="text1"/>
          <w:szCs w:val="21"/>
          <w14:textFill>
            <w14:solidFill>
              <w14:schemeClr w14:val="tx1"/>
            </w14:solidFill>
          </w14:textFill>
        </w:rPr>
        <w:t>表3：本科（含专升本）专业人才培养方案中开设实践教学课时情况一览表</w:t>
      </w:r>
    </w:p>
    <w:tbl>
      <w:tblPr>
        <w:tblStyle w:val="20"/>
        <w:tblW w:w="5517" w:type="pct"/>
        <w:jc w:val="center"/>
        <w:tblLayout w:type="autofit"/>
        <w:tblCellMar>
          <w:top w:w="15" w:type="dxa"/>
          <w:left w:w="15" w:type="dxa"/>
          <w:bottom w:w="15" w:type="dxa"/>
          <w:right w:w="15" w:type="dxa"/>
        </w:tblCellMar>
      </w:tblPr>
      <w:tblGrid>
        <w:gridCol w:w="2154"/>
        <w:gridCol w:w="740"/>
        <w:gridCol w:w="880"/>
        <w:gridCol w:w="893"/>
        <w:gridCol w:w="926"/>
        <w:gridCol w:w="871"/>
        <w:gridCol w:w="1134"/>
        <w:gridCol w:w="1600"/>
      </w:tblGrid>
      <w:tr>
        <w:tblPrEx>
          <w:tblCellMar>
            <w:top w:w="15" w:type="dxa"/>
            <w:left w:w="15" w:type="dxa"/>
            <w:bottom w:w="15" w:type="dxa"/>
            <w:right w:w="15" w:type="dxa"/>
          </w:tblCellMar>
        </w:tblPrEx>
        <w:trPr>
          <w:trHeight w:val="90" w:hRule="atLeast"/>
          <w:tblHeader/>
          <w:jc w:val="center"/>
        </w:trPr>
        <w:tc>
          <w:tcPr>
            <w:tcW w:w="1170" w:type="pct"/>
            <w:tcBorders>
              <w:top w:val="single" w:color="000000" w:sz="4" w:space="0"/>
              <w:left w:val="single" w:color="000000" w:sz="4" w:space="0"/>
              <w:bottom w:val="single" w:color="000000" w:sz="4" w:space="0"/>
              <w:right w:val="single" w:color="000000" w:sz="4" w:space="0"/>
              <w:tl2br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144780</wp:posOffset>
                      </wp:positionV>
                      <wp:extent cx="673100" cy="3263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73100" cy="326390"/>
                              </a:xfrm>
                              <a:prstGeom prst="rect">
                                <a:avLst/>
                              </a:prstGeom>
                              <a:noFill/>
                              <a:ln w="9525">
                                <a:noFill/>
                              </a:ln>
                            </wps:spPr>
                            <wps:txbx>
                              <w:txbxContent>
                                <w:p>
                                  <w:pPr>
                                    <w:rPr>
                                      <w:rFonts w:ascii="宋体" w:hAnsi="宋体" w:eastAsia="宋体" w:cs="宋体"/>
                                      <w:szCs w:val="21"/>
                                    </w:rPr>
                                  </w:pPr>
                                  <w:r>
                                    <w:rPr>
                                      <w:rFonts w:hint="eastAsia" w:ascii="宋体" w:hAnsi="宋体" w:eastAsia="宋体" w:cs="宋体"/>
                                      <w:szCs w:val="21"/>
                                    </w:rPr>
                                    <w:t>专业</w:t>
                                  </w:r>
                                </w:p>
                              </w:txbxContent>
                            </wps:txbx>
                            <wps:bodyPr upright="1"/>
                          </wps:wsp>
                        </a:graphicData>
                      </a:graphic>
                    </wp:anchor>
                  </w:drawing>
                </mc:Choice>
                <mc:Fallback>
                  <w:pict>
                    <v:shape id="_x0000_s1026" o:spid="_x0000_s1026" o:spt="202" type="#_x0000_t202" style="position:absolute;left:0pt;margin-left:5.9pt;margin-top:11.4pt;height:25.7pt;width:53pt;z-index:251660288;mso-width-relative:page;mso-height-relative:page;" filled="f" stroked="f" coordsize="21600,21600" o:gfxdata="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nF&#10;y9zUAAAABwEAAA8AAAAAAAAAAQAgAAAAIgAAAGRycy9kb3ducmV2LnhtbFBLAQIUABQAAAAIAIdO&#10;4kCpMILQtQEAAFYDAAAOAAAAAAAAAAEAIAAAACMBAABkcnMvZTJvRG9jLnhtbFBLBQYAAAAABgAG&#10;AFkBAABKBQAAAAA=&#10;">
                      <v:fill on="f" focussize="0,0"/>
                      <v:stroke on="f"/>
                      <v:imagedata o:title=""/>
                      <o:lock v:ext="edit" aspectratio="f"/>
                      <v:textbox>
                        <w:txbxContent>
                          <w:p>
                            <w:pPr>
                              <w:rPr>
                                <w:rFonts w:ascii="宋体" w:hAnsi="宋体" w:eastAsia="宋体" w:cs="宋体"/>
                                <w:szCs w:val="21"/>
                              </w:rPr>
                            </w:pPr>
                            <w:r>
                              <w:rPr>
                                <w:rFonts w:hint="eastAsia" w:ascii="宋体" w:hAnsi="宋体" w:eastAsia="宋体" w:cs="宋体"/>
                                <w:szCs w:val="21"/>
                              </w:rPr>
                              <w:t>专业</w:t>
                            </w:r>
                          </w:p>
                        </w:txbxContent>
                      </v:textbox>
                    </v:shape>
                  </w:pict>
                </mc:Fallback>
              </mc:AlternateContent>
            </w:r>
            <w:r>
              <w:rPr>
                <w:rFonts w:hint="eastAsia" w:ascii="宋体" w:hAnsi="宋体" w:eastAsia="宋体" w:cs="宋体"/>
                <w:szCs w:val="21"/>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-1270</wp:posOffset>
                      </wp:positionV>
                      <wp:extent cx="911860" cy="3333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11860" cy="333375"/>
                              </a:xfrm>
                              <a:prstGeom prst="rect">
                                <a:avLst/>
                              </a:prstGeom>
                              <a:noFill/>
                              <a:ln w="9525">
                                <a:noFill/>
                              </a:ln>
                            </wps:spPr>
                            <wps:txbx>
                              <w:txbxContent>
                                <w:p>
                                  <w:pPr>
                                    <w:ind w:firstLine="210" w:firstLineChars="100"/>
                                    <w:rPr>
                                      <w:rFonts w:ascii="宋体" w:hAnsi="宋体" w:eastAsia="宋体" w:cs="宋体"/>
                                      <w:szCs w:val="21"/>
                                    </w:rPr>
                                  </w:pPr>
                                  <w:r>
                                    <w:rPr>
                                      <w:rFonts w:hint="eastAsia" w:ascii="宋体" w:hAnsi="宋体" w:eastAsia="宋体" w:cs="宋体"/>
                                      <w:szCs w:val="21"/>
                                    </w:rPr>
                                    <w:t>类别</w:t>
                                  </w:r>
                                </w:p>
                              </w:txbxContent>
                            </wps:txbx>
                            <wps:bodyPr upright="1"/>
                          </wps:wsp>
                        </a:graphicData>
                      </a:graphic>
                    </wp:anchor>
                  </w:drawing>
                </mc:Choice>
                <mc:Fallback>
                  <w:pict>
                    <v:shape id="_x0000_s1026" o:spid="_x0000_s1026" o:spt="202" type="#_x0000_t202" style="position:absolute;left:0pt;margin-left:48.85pt;margin-top:-0.1pt;height:26.25pt;width:71.8pt;z-index:251661312;mso-width-relative:page;mso-height-relative:page;" filled="f" stroked="f" coordsize="21600,21600" o:gfxdata="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6aU&#10;hNUAAAAIAQAADwAAAAAAAAABACAAAAAiAAAAZHJzL2Rvd25yZXYueG1sUEsBAhQAFAAAAAgAh07i&#10;QO7kEkizAQAAVgMAAA4AAAAAAAAAAQAgAAAAJAEAAGRycy9lMm9Eb2MueG1sUEsFBgAAAAAGAAYA&#10;WQEAAEkFAAAAAA==&#10;">
                      <v:fill on="f" focussize="0,0"/>
                      <v:stroke on="f"/>
                      <v:imagedata o:title=""/>
                      <o:lock v:ext="edit" aspectratio="f"/>
                      <v:textbox>
                        <w:txbxContent>
                          <w:p>
                            <w:pPr>
                              <w:ind w:firstLine="210" w:firstLineChars="100"/>
                              <w:rPr>
                                <w:rFonts w:ascii="宋体" w:hAnsi="宋体" w:eastAsia="宋体" w:cs="宋体"/>
                                <w:szCs w:val="21"/>
                              </w:rPr>
                            </w:pPr>
                            <w:r>
                              <w:rPr>
                                <w:rFonts w:hint="eastAsia" w:ascii="宋体" w:hAnsi="宋体" w:eastAsia="宋体" w:cs="宋体"/>
                                <w:szCs w:val="21"/>
                              </w:rPr>
                              <w:t>类别</w:t>
                            </w:r>
                          </w:p>
                        </w:txbxContent>
                      </v:textbox>
                    </v:shape>
                  </w:pict>
                </mc:Fallback>
              </mc:AlternateConten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课内</w:t>
            </w:r>
          </w:p>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kern w:val="0"/>
                <w:szCs w:val="21"/>
                <w:lang w:bidi="ar"/>
              </w:rPr>
              <w:t>实验</w:t>
            </w:r>
          </w:p>
        </w:tc>
        <w:tc>
          <w:tcPr>
            <w:tcW w:w="47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szCs w:val="21"/>
              </w:rPr>
              <w:t>独立实验</w:t>
            </w:r>
          </w:p>
        </w:tc>
        <w:tc>
          <w:tcPr>
            <w:tcW w:w="48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kern w:val="0"/>
                <w:szCs w:val="21"/>
                <w:lang w:bidi="ar"/>
              </w:rPr>
              <w:t>集中实践</w:t>
            </w:r>
          </w:p>
        </w:tc>
        <w:tc>
          <w:tcPr>
            <w:tcW w:w="503" w:type="pct"/>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szCs w:val="21"/>
              </w:rPr>
              <w:t>岗位实习</w:t>
            </w:r>
          </w:p>
        </w:tc>
        <w:tc>
          <w:tcPr>
            <w:tcW w:w="473" w:type="pct"/>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kern w:val="0"/>
                <w:szCs w:val="21"/>
                <w:lang w:bidi="ar"/>
              </w:rPr>
              <w:t>毕业设计（论文）</w:t>
            </w:r>
          </w:p>
        </w:tc>
        <w:tc>
          <w:tcPr>
            <w:tcW w:w="616" w:type="pct"/>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kern w:val="0"/>
                <w:szCs w:val="21"/>
                <w:lang w:bidi="ar"/>
              </w:rPr>
              <w:t>实践教学总学时</w:t>
            </w:r>
          </w:p>
        </w:tc>
        <w:tc>
          <w:tcPr>
            <w:tcW w:w="869" w:type="pct"/>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宋体" w:hAnsi="宋体" w:eastAsia="宋体" w:cs="宋体"/>
                <w:szCs w:val="21"/>
              </w:rPr>
            </w:pPr>
            <w:r>
              <w:rPr>
                <w:rFonts w:hint="eastAsia" w:ascii="宋体" w:hAnsi="宋体" w:eastAsia="宋体" w:cs="宋体"/>
                <w:kern w:val="0"/>
                <w:szCs w:val="21"/>
                <w:lang w:bidi="ar"/>
              </w:rPr>
              <w:t>实践教学占总学时的比例（%）</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汽车服务工程技术</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972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312</w:t>
            </w: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150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2086</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58.65</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机械设计制造及自动化</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721</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448</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480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196</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1845</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53.42</w:t>
            </w:r>
          </w:p>
        </w:tc>
      </w:tr>
      <w:tr>
        <w:tblPrEx>
          <w:tblCellMar>
            <w:top w:w="15" w:type="dxa"/>
            <w:left w:w="15" w:type="dxa"/>
            <w:bottom w:w="15" w:type="dxa"/>
            <w:right w:w="15" w:type="dxa"/>
          </w:tblCellMar>
        </w:tblPrEx>
        <w:trPr>
          <w:trHeight w:val="371"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计算机应用工程</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856</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364</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2300</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60.69</w:t>
            </w:r>
          </w:p>
        </w:tc>
      </w:tr>
      <w:tr>
        <w:tblPrEx>
          <w:tblCellMar>
            <w:top w:w="15" w:type="dxa"/>
            <w:left w:w="15" w:type="dxa"/>
            <w:bottom w:w="15" w:type="dxa"/>
            <w:right w:w="15" w:type="dxa"/>
          </w:tblCellMar>
        </w:tblPrEx>
        <w:trPr>
          <w:trHeight w:val="251"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软件工程技术</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872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392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2344</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60.38</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油气储运工程</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628</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80</w:t>
            </w: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296</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390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1934</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53.90</w:t>
            </w:r>
          </w:p>
        </w:tc>
      </w:tr>
      <w:tr>
        <w:tblPrEx>
          <w:tblCellMar>
            <w:top w:w="15" w:type="dxa"/>
            <w:left w:w="15" w:type="dxa"/>
            <w:bottom w:w="15" w:type="dxa"/>
            <w:right w:w="15" w:type="dxa"/>
          </w:tblCellMar>
        </w:tblPrEx>
        <w:trPr>
          <w:trHeight w:val="214"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建筑工程</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732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392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224</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1888</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52.71</w:t>
            </w:r>
          </w:p>
        </w:tc>
      </w:tr>
      <w:tr>
        <w:tblPrEx>
          <w:tblCellMar>
            <w:top w:w="15" w:type="dxa"/>
            <w:left w:w="15" w:type="dxa"/>
            <w:bottom w:w="15" w:type="dxa"/>
            <w:right w:w="15" w:type="dxa"/>
          </w:tblCellMar>
        </w:tblPrEx>
        <w:trPr>
          <w:trHeight w:val="396"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大数据与财务管理</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912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464</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1916</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58.38</w:t>
            </w:r>
          </w:p>
        </w:tc>
      </w:tr>
      <w:tr>
        <w:tblPrEx>
          <w:tblCellMar>
            <w:top w:w="15" w:type="dxa"/>
            <w:left w:w="15" w:type="dxa"/>
            <w:bottom w:w="15" w:type="dxa"/>
            <w:right w:w="15" w:type="dxa"/>
          </w:tblCellMar>
        </w:tblPrEx>
        <w:trPr>
          <w:trHeight w:val="351"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大数据与会计</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912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464</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1916</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58.38</w:t>
            </w:r>
          </w:p>
        </w:tc>
      </w:tr>
      <w:tr>
        <w:tblPrEx>
          <w:tblCellMar>
            <w:top w:w="15" w:type="dxa"/>
            <w:left w:w="15" w:type="dxa"/>
            <w:bottom w:w="15" w:type="dxa"/>
            <w:right w:w="15" w:type="dxa"/>
          </w:tblCellMar>
        </w:tblPrEx>
        <w:trPr>
          <w:trHeight w:val="351"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电子商务</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912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464</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1916</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58.38</w:t>
            </w:r>
          </w:p>
        </w:tc>
      </w:tr>
      <w:tr>
        <w:tblPrEx>
          <w:tblCellMar>
            <w:top w:w="15" w:type="dxa"/>
            <w:left w:w="15" w:type="dxa"/>
            <w:bottom w:w="15" w:type="dxa"/>
            <w:right w:w="15" w:type="dxa"/>
          </w:tblCellMar>
        </w:tblPrEx>
        <w:trPr>
          <w:trHeight w:val="289"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酒店管理</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1112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336</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2268</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62.48</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学前教育</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972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112</w:t>
            </w: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150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1854</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56.18</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服装与服饰设计</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1112</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2212</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61.61</w:t>
            </w:r>
          </w:p>
        </w:tc>
      </w:tr>
      <w:tr>
        <w:tblPrEx>
          <w:tblCellMar>
            <w:top w:w="15" w:type="dxa"/>
            <w:left w:w="15" w:type="dxa"/>
            <w:bottom w:w="15" w:type="dxa"/>
            <w:right w:w="15" w:type="dxa"/>
          </w:tblCellMar>
        </w:tblPrEx>
        <w:trPr>
          <w:trHeight w:val="364"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数字媒体艺术</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1373</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336</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2529</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69.98</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工艺美术</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1336</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252</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2408</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69.16</w:t>
            </w:r>
          </w:p>
        </w:tc>
      </w:tr>
      <w:tr>
        <w:tblPrEx>
          <w:tblCellMar>
            <w:top w:w="15" w:type="dxa"/>
            <w:left w:w="15" w:type="dxa"/>
            <w:bottom w:w="15" w:type="dxa"/>
            <w:right w:w="15" w:type="dxa"/>
          </w:tblCellMar>
        </w:tblPrEx>
        <w:trPr>
          <w:trHeight w:val="90"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休闲体育</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896</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112</w:t>
            </w: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280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2108</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100</w:t>
            </w:r>
          </w:p>
        </w:tc>
      </w:tr>
      <w:tr>
        <w:tblPrEx>
          <w:tblCellMar>
            <w:top w:w="15" w:type="dxa"/>
            <w:left w:w="15" w:type="dxa"/>
            <w:bottom w:w="15" w:type="dxa"/>
            <w:right w:w="15" w:type="dxa"/>
          </w:tblCellMar>
        </w:tblPrEx>
        <w:trPr>
          <w:trHeight w:val="452"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计算机应用工程</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（专升本）</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208</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184</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932</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56.42</w:t>
            </w:r>
          </w:p>
        </w:tc>
      </w:tr>
      <w:tr>
        <w:tblPrEx>
          <w:tblCellMar>
            <w:top w:w="15" w:type="dxa"/>
            <w:left w:w="15" w:type="dxa"/>
            <w:bottom w:w="15" w:type="dxa"/>
            <w:right w:w="15" w:type="dxa"/>
          </w:tblCellMar>
        </w:tblPrEx>
        <w:trPr>
          <w:trHeight w:val="454"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建筑工程（专升本）</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214</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210</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224</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1188</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64.25</w:t>
            </w:r>
          </w:p>
        </w:tc>
      </w:tr>
      <w:tr>
        <w:tblPrEx>
          <w:tblCellMar>
            <w:top w:w="15" w:type="dxa"/>
            <w:left w:w="15" w:type="dxa"/>
            <w:bottom w:w="15" w:type="dxa"/>
            <w:right w:w="15" w:type="dxa"/>
          </w:tblCellMar>
        </w:tblPrEx>
        <w:trPr>
          <w:trHeight w:val="339"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学前教育（专升本）</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294</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72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80</w:t>
            </w: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986</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63.17</w:t>
            </w:r>
          </w:p>
        </w:tc>
      </w:tr>
      <w:tr>
        <w:tblPrEx>
          <w:tblCellMar>
            <w:top w:w="15" w:type="dxa"/>
            <w:left w:w="15" w:type="dxa"/>
            <w:bottom w:w="15" w:type="dxa"/>
            <w:right w:w="15" w:type="dxa"/>
          </w:tblCellMar>
        </w:tblPrEx>
        <w:trPr>
          <w:trHeight w:val="379"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电子商务（专升本）</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408</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1060</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65.76</w:t>
            </w:r>
          </w:p>
        </w:tc>
      </w:tr>
      <w:tr>
        <w:tblPrEx>
          <w:tblCellMar>
            <w:top w:w="15" w:type="dxa"/>
            <w:left w:w="15" w:type="dxa"/>
            <w:bottom w:w="15" w:type="dxa"/>
            <w:right w:w="15" w:type="dxa"/>
          </w:tblCellMar>
        </w:tblPrEx>
        <w:trPr>
          <w:trHeight w:val="414" w:hRule="atLeast"/>
          <w:jc w:val="center"/>
        </w:trPr>
        <w:tc>
          <w:tcPr>
            <w:tcW w:w="117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Cs w:val="21"/>
              </w:rPr>
            </w:pPr>
            <w:r>
              <w:rPr>
                <w:rFonts w:hint="eastAsia" w:ascii="宋体" w:hAnsi="宋体" w:eastAsia="宋体" w:cs="宋体"/>
                <w:szCs w:val="21"/>
              </w:rPr>
              <w:t>大数据与财务管理</w:t>
            </w:r>
          </w:p>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kern w:val="0"/>
                <w:szCs w:val="21"/>
                <w:lang w:bidi="ar"/>
              </w:rPr>
            </w:pPr>
            <w:r>
              <w:rPr>
                <w:rFonts w:hint="eastAsia" w:ascii="宋体" w:hAnsi="宋体" w:eastAsia="宋体" w:cs="宋体"/>
                <w:szCs w:val="21"/>
              </w:rPr>
              <w:t>（专升本）</w:t>
            </w:r>
          </w:p>
        </w:tc>
        <w:tc>
          <w:tcPr>
            <w:tcW w:w="4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408</w:t>
            </w:r>
          </w:p>
        </w:tc>
        <w:tc>
          <w:tcPr>
            <w:tcW w:w="478"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485" w:type="pct"/>
            <w:tcBorders>
              <w:top w:val="single" w:color="000000" w:sz="4" w:space="0"/>
              <w:left w:val="single" w:color="000000" w:sz="4" w:space="0"/>
              <w:bottom w:val="single" w:color="000000" w:sz="4"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112</w:t>
            </w:r>
          </w:p>
        </w:tc>
        <w:tc>
          <w:tcPr>
            <w:tcW w:w="50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540</w:t>
            </w:r>
          </w:p>
        </w:tc>
        <w:tc>
          <w:tcPr>
            <w:tcW w:w="473"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ascii="宋体" w:hAnsi="宋体" w:eastAsia="宋体" w:cs="宋体"/>
                <w:szCs w:val="21"/>
              </w:rPr>
            </w:pPr>
          </w:p>
        </w:tc>
        <w:tc>
          <w:tcPr>
            <w:tcW w:w="616"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1060</w:t>
            </w:r>
          </w:p>
        </w:tc>
        <w:tc>
          <w:tcPr>
            <w:tcW w:w="869"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szCs w:val="21"/>
              </w:rPr>
            </w:pPr>
            <w:r>
              <w:rPr>
                <w:rFonts w:hint="eastAsia" w:ascii="宋体" w:hAnsi="宋体" w:eastAsia="宋体" w:cs="宋体"/>
                <w:szCs w:val="21"/>
              </w:rPr>
              <w:t>65.76</w:t>
            </w:r>
          </w:p>
        </w:tc>
      </w:tr>
    </w:tbl>
    <w:p>
      <w:pPr>
        <w:spacing w:line="240" w:lineRule="auto"/>
        <w:jc w:val="left"/>
        <w:outlineLvl w:val="1"/>
        <w:rPr>
          <w:rStyle w:val="24"/>
          <w:rFonts w:ascii="黑体" w:hAnsi="黑体" w:eastAsia="黑体" w:cs="黑体"/>
          <w:sz w:val="28"/>
          <w:szCs w:val="28"/>
        </w:rPr>
      </w:pPr>
      <w:bookmarkStart w:id="54" w:name="_Toc22072"/>
      <w:bookmarkStart w:id="55" w:name="_Toc13700"/>
      <w:bookmarkStart w:id="56" w:name="_Toc9866"/>
      <w:bookmarkStart w:id="57" w:name="_Toc13741"/>
      <w:r>
        <w:rPr>
          <w:rStyle w:val="24"/>
          <w:rFonts w:hint="eastAsia" w:ascii="黑体" w:hAnsi="黑体" w:eastAsia="黑体" w:cs="黑体"/>
          <w:sz w:val="28"/>
          <w:szCs w:val="28"/>
        </w:rPr>
        <w:t>（三）</w:t>
      </w:r>
      <w:bookmarkEnd w:id="52"/>
      <w:r>
        <w:rPr>
          <w:rStyle w:val="24"/>
          <w:rFonts w:hint="eastAsia" w:ascii="黑体" w:hAnsi="黑体" w:eastAsia="黑体" w:cs="黑体"/>
          <w:sz w:val="28"/>
          <w:szCs w:val="28"/>
        </w:rPr>
        <w:t>教学经费投入情况</w:t>
      </w:r>
      <w:bookmarkEnd w:id="53"/>
      <w:bookmarkEnd w:id="54"/>
      <w:bookmarkEnd w:id="55"/>
      <w:bookmarkEnd w:id="56"/>
      <w:bookmarkEnd w:id="5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办学经费充裕稳定，资金运转情况良好，现已建立严格的财务管理及风险控制制度，学校未出现任何组织和个人侵占、挪用、抽逃资金情况，举办者未取得回报；未利用学校教学设施对外投资、对外提供经济担保或财产抵押。2019</w:t>
      </w:r>
      <w:r>
        <w:rPr>
          <w:rFonts w:hint="eastAsia" w:ascii="宋体" w:hAnsi="宋体" w:eastAsia="宋体" w:cs="宋体"/>
          <w:sz w:val="24"/>
          <w:lang w:eastAsia="zh-CN"/>
        </w:rPr>
        <w:t>—</w:t>
      </w:r>
      <w:r>
        <w:rPr>
          <w:rFonts w:hint="eastAsia" w:ascii="宋体" w:hAnsi="宋体" w:eastAsia="宋体" w:cs="宋体"/>
          <w:sz w:val="24"/>
        </w:rPr>
        <w:t>2021年学校办学经费情况见表4。</w:t>
      </w:r>
    </w:p>
    <w:p>
      <w:pPr>
        <w:widowControl/>
        <w:jc w:val="center"/>
        <w:rPr>
          <w:rFonts w:hint="eastAsia" w:ascii="宋体" w:hAnsi="宋体" w:eastAsia="宋体" w:cs="宋体"/>
          <w:sz w:val="21"/>
          <w:szCs w:val="21"/>
        </w:rPr>
      </w:pPr>
      <w:r>
        <w:rPr>
          <w:rFonts w:hint="eastAsia" w:ascii="宋体" w:hAnsi="宋体" w:eastAsia="宋体" w:cs="宋体"/>
          <w:bCs/>
          <w:color w:val="000000" w:themeColor="text1"/>
          <w:sz w:val="21"/>
          <w:szCs w:val="21"/>
          <w14:textFill>
            <w14:solidFill>
              <w14:schemeClr w14:val="tx1"/>
            </w14:solidFill>
          </w14:textFill>
        </w:rPr>
        <w:t>表4：2019年</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2021年学校办学经费</w:t>
      </w:r>
      <w:r>
        <w:rPr>
          <w:rFonts w:hint="eastAsia" w:ascii="宋体" w:hAnsi="宋体" w:eastAsia="宋体" w:cs="宋体"/>
          <w:kern w:val="0"/>
          <w:sz w:val="21"/>
          <w:szCs w:val="21"/>
        </w:rPr>
        <w:t>（单位：万元）</w:t>
      </w:r>
    </w:p>
    <w:tbl>
      <w:tblPr>
        <w:tblStyle w:val="20"/>
        <w:tblW w:w="5012" w:type="pct"/>
        <w:jc w:val="center"/>
        <w:tblLayout w:type="autofit"/>
        <w:tblCellMar>
          <w:top w:w="0" w:type="dxa"/>
          <w:left w:w="108" w:type="dxa"/>
          <w:bottom w:w="0" w:type="dxa"/>
          <w:right w:w="108" w:type="dxa"/>
        </w:tblCellMar>
      </w:tblPr>
      <w:tblGrid>
        <w:gridCol w:w="781"/>
        <w:gridCol w:w="1903"/>
        <w:gridCol w:w="1952"/>
        <w:gridCol w:w="1952"/>
        <w:gridCol w:w="1954"/>
      </w:tblGrid>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项目</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2019年</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2020年</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2021年</w:t>
            </w:r>
          </w:p>
        </w:tc>
      </w:tr>
      <w:tr>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资产总额</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72,601.13 </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81,096.68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89,336.55 </w:t>
            </w:r>
          </w:p>
        </w:tc>
      </w:tr>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净资产总额</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64,974.05 </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70,268.40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77,484.86 </w:t>
            </w:r>
          </w:p>
        </w:tc>
      </w:tr>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负债总额</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7,627.07 </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10,828.28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11,851.69 </w:t>
            </w:r>
          </w:p>
        </w:tc>
      </w:tr>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资产负债率</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10.51%</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13.35%</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13.27%</w:t>
            </w:r>
          </w:p>
        </w:tc>
      </w:tr>
      <w:tr>
        <w:tblPrEx>
          <w:tblCellMar>
            <w:top w:w="0" w:type="dxa"/>
            <w:left w:w="108" w:type="dxa"/>
            <w:bottom w:w="0" w:type="dxa"/>
            <w:right w:w="108" w:type="dxa"/>
          </w:tblCellMar>
        </w:tblPrEx>
        <w:trPr>
          <w:trHeight w:val="441" w:hRule="atLeast"/>
          <w:jc w:val="center"/>
        </w:trPr>
        <w:tc>
          <w:tcPr>
            <w:tcW w:w="4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入</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财政补助收入</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1,709.51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1,620.80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1,691.06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教育事业收入</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6,657.69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10,173.85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13,976.26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科研事业收入</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575.00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414.59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1,118.47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经营收入</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333.81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1,177.62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1,268.49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其他收入</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761.98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1,392.07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2,378.83 </w:t>
            </w:r>
          </w:p>
        </w:tc>
      </w:tr>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收入合计</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10,037.99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14,778.93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20,433.11 </w:t>
            </w:r>
          </w:p>
        </w:tc>
      </w:tr>
      <w:tr>
        <w:tblPrEx>
          <w:tblCellMar>
            <w:top w:w="0" w:type="dxa"/>
            <w:left w:w="108" w:type="dxa"/>
            <w:bottom w:w="0" w:type="dxa"/>
            <w:right w:w="108" w:type="dxa"/>
          </w:tblCellMar>
        </w:tblPrEx>
        <w:trPr>
          <w:trHeight w:val="441" w:hRule="atLeast"/>
          <w:jc w:val="center"/>
        </w:trPr>
        <w:tc>
          <w:tcPr>
            <w:tcW w:w="4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出</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教育事业支出</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7,184.29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6,983.28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11,193.92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科研事业支出</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673.31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485.91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1,081.99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后勤保障支出</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2,346.56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6,332.76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6,813.07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经营支出</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145.70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548.69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808.20 </w:t>
            </w:r>
          </w:p>
        </w:tc>
      </w:tr>
      <w:tr>
        <w:tblPrEx>
          <w:tblCellMar>
            <w:top w:w="0" w:type="dxa"/>
            <w:left w:w="108" w:type="dxa"/>
            <w:bottom w:w="0" w:type="dxa"/>
            <w:right w:w="108" w:type="dxa"/>
          </w:tblCellMar>
        </w:tblPrEx>
        <w:trPr>
          <w:trHeight w:val="441" w:hRule="atLeast"/>
          <w:jc w:val="center"/>
        </w:trPr>
        <w:tc>
          <w:tcPr>
            <w:tcW w:w="4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其他支出</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49.65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138.37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377.32 </w:t>
            </w:r>
          </w:p>
        </w:tc>
      </w:tr>
      <w:tr>
        <w:tblPrEx>
          <w:tblCellMar>
            <w:top w:w="0" w:type="dxa"/>
            <w:left w:w="108" w:type="dxa"/>
            <w:bottom w:w="0" w:type="dxa"/>
            <w:right w:w="108" w:type="dxa"/>
          </w:tblCellMar>
        </w:tblPrEx>
        <w:trPr>
          <w:trHeight w:val="441" w:hRule="atLeast"/>
          <w:jc w:val="center"/>
        </w:trPr>
        <w:tc>
          <w:tcPr>
            <w:tcW w:w="15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支出合计</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10,399.51 </w:t>
            </w:r>
          </w:p>
        </w:tc>
        <w:tc>
          <w:tcPr>
            <w:tcW w:w="11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14,489.01 </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20,274.50 </w:t>
            </w:r>
          </w:p>
        </w:tc>
      </w:tr>
    </w:tbl>
    <w:p>
      <w:pPr>
        <w:spacing w:line="240" w:lineRule="auto"/>
        <w:jc w:val="left"/>
        <w:outlineLvl w:val="1"/>
        <w:rPr>
          <w:rStyle w:val="24"/>
          <w:rFonts w:ascii="黑体" w:hAnsi="黑体" w:eastAsia="黑体" w:cs="黑体"/>
          <w:sz w:val="28"/>
          <w:szCs w:val="28"/>
        </w:rPr>
      </w:pPr>
      <w:bookmarkStart w:id="58" w:name="_Toc28074"/>
      <w:bookmarkStart w:id="59" w:name="_Toc19797"/>
      <w:bookmarkStart w:id="60" w:name="_Toc3307"/>
      <w:bookmarkStart w:id="61" w:name="_Toc25062"/>
      <w:bookmarkStart w:id="62" w:name="_Toc22545"/>
      <w:bookmarkStart w:id="63" w:name="_Toc32519"/>
      <w:r>
        <w:rPr>
          <w:rStyle w:val="24"/>
          <w:rFonts w:hint="eastAsia" w:ascii="黑体" w:hAnsi="黑体" w:eastAsia="黑体" w:cs="黑体"/>
          <w:sz w:val="28"/>
          <w:szCs w:val="28"/>
        </w:rPr>
        <w:t>（四）</w:t>
      </w:r>
      <w:bookmarkEnd w:id="58"/>
      <w:r>
        <w:rPr>
          <w:rStyle w:val="24"/>
          <w:rFonts w:hint="eastAsia" w:ascii="黑体" w:hAnsi="黑体" w:eastAsia="黑体" w:cs="黑体"/>
          <w:sz w:val="28"/>
          <w:szCs w:val="28"/>
        </w:rPr>
        <w:t>教学用房</w:t>
      </w:r>
      <w:bookmarkEnd w:id="59"/>
      <w:bookmarkEnd w:id="60"/>
      <w:bookmarkEnd w:id="61"/>
      <w:bookmarkEnd w:id="62"/>
      <w:bookmarkEnd w:id="63"/>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目前总在用校舍建筑面积39.71万平方米，其中教学行政用房面积27.06万平方米。学校现有教室102间，实验、实习实训场所150个，实验实训室、实习场所面积16.68万平方米。各类教室、实验实训室、实习场所和教学辅助用房配备齐全，功能齐备。学生宿舍、餐厅、运动场所、生活设施系统配套，能够满足教学和人才培养需要。为满足学校快速发展需要，学校在建校园二期工程21.39万平方米校舍（含教学行政用房13.61万平方米），并积极筹划校园三期工程建设，持续加大投入用于改善学校教学及生活设施。</w:t>
      </w:r>
    </w:p>
    <w:p>
      <w:pPr>
        <w:spacing w:line="240" w:lineRule="auto"/>
        <w:jc w:val="left"/>
        <w:outlineLvl w:val="1"/>
        <w:rPr>
          <w:rStyle w:val="24"/>
          <w:rFonts w:ascii="黑体" w:hAnsi="黑体" w:eastAsia="黑体" w:cs="黑体"/>
          <w:sz w:val="28"/>
          <w:szCs w:val="28"/>
        </w:rPr>
      </w:pPr>
      <w:bookmarkStart w:id="64" w:name="_Toc27473"/>
      <w:bookmarkStart w:id="65" w:name="_Toc30890"/>
      <w:bookmarkStart w:id="66" w:name="_Toc23608"/>
      <w:bookmarkStart w:id="67" w:name="_Toc22278"/>
      <w:bookmarkStart w:id="68" w:name="_Toc6974"/>
      <w:r>
        <w:rPr>
          <w:rStyle w:val="24"/>
          <w:rFonts w:hint="eastAsia" w:ascii="黑体" w:hAnsi="黑体" w:eastAsia="黑体" w:cs="黑体"/>
          <w:sz w:val="28"/>
          <w:szCs w:val="28"/>
        </w:rPr>
        <w:t>（五）图书馆及图书资源</w:t>
      </w:r>
      <w:bookmarkEnd w:id="64"/>
      <w:bookmarkEnd w:id="65"/>
      <w:bookmarkEnd w:id="66"/>
      <w:bookmarkEnd w:id="67"/>
      <w:bookmarkEnd w:id="68"/>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69" w:name="_Toc24720"/>
      <w:r>
        <w:rPr>
          <w:rFonts w:hint="eastAsia" w:ascii="宋体" w:hAnsi="宋体" w:eastAsia="宋体" w:cs="宋体"/>
          <w:sz w:val="24"/>
        </w:rPr>
        <w:t>学校图书馆拥有较为丰富的馆藏资源，截至2022年8月31日，现有纸质藏书43.2万种，68.96万册，电子图书40万册；现刊303种，报纸84份，合计总馆藏108.96册，生均106册。与泉州市图书馆、晋江市图书馆共建、互为分馆，资源共享。图书馆建有数字资源中心，资源涵盖：维普期刊数据全库，维普智立方数据平台，万方数据库，超星汇雅电子图书，超星百链云平台，中国知网研学平台，中国知网人事科研诚信管理系统，超星移动图书馆，歌德电子借阅机；</w:t>
      </w:r>
      <w:r>
        <w:rPr>
          <w:rFonts w:hint="eastAsia" w:ascii="宋体" w:hAnsi="宋体" w:eastAsia="宋体" w:cs="宋体"/>
          <w:sz w:val="24"/>
          <w:lang w:val="en-US" w:eastAsia="zh-CN"/>
        </w:rPr>
        <w:t>晋江图书馆</w:t>
      </w:r>
      <w:r>
        <w:rPr>
          <w:rFonts w:hint="eastAsia" w:ascii="宋体" w:hAnsi="宋体" w:eastAsia="宋体" w:cs="宋体"/>
          <w:sz w:val="24"/>
        </w:rPr>
        <w:t>共建资源有：中国知网数据库，中国维普数据库，超星读秀平台，地方文献数据库，晋台族谱数据库等。图书馆总建筑面积1.5万余平方米，两校区（晋江校区、泉州校区）运行，设有普通阅览座位2000席，全馆实现WIFI全覆盖。图书馆现使用UILAS图书自动化管理系统，实现了数字化网络化自动化的文献信息服务。</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图书馆实行系统自动化管理，并加入了中国高等教育文献保障系统（CALIS），与各大高校图书馆信息资源的共享互通；加入福建省数字资源平台Fulink，实现了在同一个平台上进行图书、期刊、报纸、学位论文、会议论文、专利、标准、视频等内容的“一站式”统一检索。图书馆以通识育人为着力点，培养学生的信息意识和获取、利用文献信息的能力，积极开展阅读教育（新生入关教育、信息搜索技能培训等）：每年定期面向全校师生开展阅读推广活动（趣味阅读活动、真人图书秀、主题读者交流活动、专题讲座等）；引进樊登读书会，面向师生做专题图书阅读推广及活动开展；成立图书馆融媒体中心，涵盖：微信公众平台、网站建设、抖音、微博、视频号，宣传阅读文化，与学生近距离接触。</w:t>
      </w:r>
    </w:p>
    <w:p>
      <w:pPr>
        <w:spacing w:line="240" w:lineRule="auto"/>
        <w:jc w:val="left"/>
        <w:outlineLvl w:val="1"/>
        <w:rPr>
          <w:rStyle w:val="24"/>
          <w:rFonts w:ascii="黑体" w:hAnsi="黑体" w:eastAsia="黑体" w:cs="黑体"/>
          <w:sz w:val="28"/>
          <w:szCs w:val="28"/>
        </w:rPr>
      </w:pPr>
      <w:bookmarkStart w:id="70" w:name="_Toc24785"/>
      <w:bookmarkStart w:id="71" w:name="_Toc18087"/>
      <w:bookmarkStart w:id="72" w:name="_Toc20276"/>
      <w:bookmarkStart w:id="73" w:name="_Toc28511"/>
      <w:r>
        <w:rPr>
          <w:rStyle w:val="24"/>
          <w:rFonts w:hint="eastAsia" w:ascii="黑体" w:hAnsi="黑体" w:eastAsia="黑体" w:cs="黑体"/>
          <w:sz w:val="28"/>
          <w:szCs w:val="28"/>
        </w:rPr>
        <w:t>（六）实验设施</w:t>
      </w:r>
      <w:bookmarkEnd w:id="69"/>
      <w:bookmarkEnd w:id="70"/>
      <w:bookmarkEnd w:id="71"/>
      <w:bookmarkEnd w:id="72"/>
      <w:bookmarkEnd w:id="73"/>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74" w:name="_Toc32211"/>
      <w:bookmarkStart w:id="75" w:name="_Toc13332"/>
      <w:r>
        <w:rPr>
          <w:rFonts w:hint="eastAsia" w:ascii="宋体" w:hAnsi="宋体" w:eastAsia="宋体" w:cs="宋体"/>
          <w:sz w:val="24"/>
        </w:rPr>
        <w:t>目前全校教学仪器设备值10768.30万元，其中用于本科专业教学1000元/个以上设备合计9210.98万元，本科生均教学仪器设备值</w:t>
      </w:r>
      <w:r>
        <w:rPr>
          <w:rFonts w:hint="eastAsia" w:ascii="宋体" w:hAnsi="宋体" w:eastAsia="宋体" w:cs="宋体"/>
          <w:sz w:val="24"/>
          <w:highlight w:val="none"/>
        </w:rPr>
        <w:t>10004.32元。2</w:t>
      </w:r>
      <w:r>
        <w:rPr>
          <w:rFonts w:hint="eastAsia" w:ascii="宋体" w:hAnsi="宋体" w:eastAsia="宋体" w:cs="宋体"/>
          <w:sz w:val="24"/>
        </w:rPr>
        <w:t>021年9月-2022年8月，校内实验实训场所建设新增投入1652.54万元保障学生实践教学正常运行；实验实训室采用二级学院自主管理的方式，并严格按照实验室6S管理模式执行日常管理工作，取得良好成效。学校积极探索校企合作模式，在实训室建设方面，与企业共建，促进了产教融合，</w:t>
      </w:r>
      <w:r>
        <w:rPr>
          <w:rFonts w:hint="eastAsia" w:ascii="宋体" w:hAnsi="宋体" w:eastAsia="宋体" w:cs="宋体"/>
          <w:sz w:val="24"/>
          <w:lang w:eastAsia="zh-CN"/>
        </w:rPr>
        <w:t>更好地为</w:t>
      </w:r>
      <w:r>
        <w:rPr>
          <w:rFonts w:hint="eastAsia" w:ascii="宋体" w:hAnsi="宋体" w:eastAsia="宋体" w:cs="宋体"/>
          <w:sz w:val="24"/>
        </w:rPr>
        <w:t>企业输送优秀学生。</w:t>
      </w:r>
    </w:p>
    <w:p>
      <w:pPr>
        <w:spacing w:line="240" w:lineRule="auto"/>
        <w:jc w:val="left"/>
        <w:outlineLvl w:val="1"/>
        <w:rPr>
          <w:rStyle w:val="24"/>
          <w:rFonts w:ascii="黑体" w:hAnsi="黑体" w:eastAsia="黑体" w:cs="黑体"/>
          <w:sz w:val="28"/>
          <w:szCs w:val="28"/>
        </w:rPr>
      </w:pPr>
      <w:bookmarkStart w:id="76" w:name="_Toc32672"/>
      <w:bookmarkStart w:id="77" w:name="_Toc25594"/>
      <w:bookmarkStart w:id="78" w:name="_Toc11143"/>
      <w:bookmarkStart w:id="79" w:name="_Toc9928"/>
      <w:r>
        <w:rPr>
          <w:rStyle w:val="24"/>
          <w:rFonts w:hint="eastAsia" w:ascii="黑体" w:hAnsi="黑体" w:eastAsia="黑体" w:cs="黑体"/>
          <w:sz w:val="28"/>
          <w:szCs w:val="28"/>
        </w:rPr>
        <w:t>（七）</w:t>
      </w:r>
      <w:bookmarkEnd w:id="74"/>
      <w:r>
        <w:rPr>
          <w:rStyle w:val="24"/>
          <w:rFonts w:hint="eastAsia" w:ascii="黑体" w:hAnsi="黑体" w:eastAsia="黑体" w:cs="黑体"/>
          <w:sz w:val="28"/>
          <w:szCs w:val="28"/>
        </w:rPr>
        <w:t>信息资源及应用</w:t>
      </w:r>
      <w:bookmarkEnd w:id="75"/>
      <w:bookmarkEnd w:id="76"/>
      <w:bookmarkEnd w:id="77"/>
      <w:bookmarkEnd w:id="78"/>
      <w:bookmarkEnd w:id="79"/>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80" w:name="_Toc10386"/>
      <w:bookmarkStart w:id="81" w:name="_Toc27308"/>
      <w:bookmarkStart w:id="82" w:name="_Toc20006"/>
      <w:r>
        <w:rPr>
          <w:rFonts w:hint="eastAsia" w:ascii="宋体" w:hAnsi="宋体" w:eastAsia="宋体" w:cs="宋体"/>
          <w:sz w:val="24"/>
        </w:rPr>
        <w:t>持续加强教学信息化教学建设，目前部署建设云桌面908套，教学楼公共机房共3间可满足316人同时上机，专业机房32间可满足2000人同时上机，智慧云桌面教室18间，满足师生教学需求。晋江校区教学楼接入千兆光纤，实现千兆有线网络接入到每间实验（训）室、多媒体教室、机房。在有线网络的建设基础上，逐步进行教学区域无线覆盖改造。无线网络全覆盖智慧教室，满足1800人自主学习、资料查询、无线网络使用需求。</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根据教学平台数据统计，2017年5月至今，教师使用在线教学平台进行教学活动的课程有2896门，其中进行课程内容编辑的课程有2644门，课程完善率为91.30%；课程学习访问次数超过1000人次的课程有2588门，课程实际应用率为89.36%。疫情期间超星线上课程平台的充分使用，加速打通线上线下课程，推进翻转课堂和教学改革，丰富师生教学活动，拓展课程考核方式，提升课程教学质量，充分发挥信息化在教学活动中的有利作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在已有的教务管理平台、学生管理平台基础上，以学习通、钉钉、公众号作为移动校园入口，以公共服务平台为基础，逐步构建各类移动端微服务，同时整合招生、学生管理、学生实习实训、校友管理等平台内容，建设个性化的服务流程，提高教学管理效率。2022年学校投入建设教学质量评价管理平台，通过信息化的手段加强教学质量监控，充分利用平台数据反馈提升教学质量。</w:t>
      </w:r>
    </w:p>
    <w:p>
      <w:pPr>
        <w:pStyle w:val="3"/>
        <w:spacing w:line="240" w:lineRule="auto"/>
        <w:jc w:val="left"/>
        <w:rPr>
          <w:sz w:val="30"/>
          <w:szCs w:val="30"/>
        </w:rPr>
      </w:pPr>
      <w:bookmarkStart w:id="83" w:name="_Toc13963"/>
      <w:bookmarkStart w:id="84" w:name="_Toc19234"/>
      <w:bookmarkStart w:id="85" w:name="_Toc31443"/>
      <w:bookmarkStart w:id="86" w:name="_Toc23498"/>
      <w:r>
        <w:rPr>
          <w:rFonts w:hint="eastAsia"/>
          <w:sz w:val="30"/>
          <w:szCs w:val="30"/>
        </w:rPr>
        <w:t>三、教学建设与改革</w:t>
      </w:r>
      <w:bookmarkEnd w:id="80"/>
      <w:bookmarkEnd w:id="81"/>
      <w:bookmarkEnd w:id="82"/>
      <w:bookmarkEnd w:id="83"/>
      <w:bookmarkEnd w:id="84"/>
      <w:bookmarkEnd w:id="85"/>
      <w:bookmarkEnd w:id="86"/>
    </w:p>
    <w:p>
      <w:pPr>
        <w:spacing w:line="240" w:lineRule="auto"/>
        <w:jc w:val="left"/>
        <w:outlineLvl w:val="1"/>
        <w:rPr>
          <w:rStyle w:val="24"/>
          <w:rFonts w:ascii="黑体" w:hAnsi="黑体" w:eastAsia="黑体" w:cs="黑体"/>
          <w:sz w:val="28"/>
          <w:szCs w:val="28"/>
        </w:rPr>
      </w:pPr>
      <w:bookmarkStart w:id="87" w:name="_Toc11635"/>
      <w:bookmarkStart w:id="88" w:name="_Toc3049"/>
      <w:bookmarkStart w:id="89" w:name="_Toc24966"/>
      <w:bookmarkStart w:id="90" w:name="_Toc21918"/>
      <w:bookmarkStart w:id="91" w:name="_Toc19765"/>
      <w:bookmarkStart w:id="92" w:name="_Toc1941"/>
      <w:r>
        <w:rPr>
          <w:rStyle w:val="24"/>
          <w:rFonts w:hint="eastAsia" w:ascii="黑体" w:hAnsi="黑体" w:eastAsia="黑体" w:cs="黑体"/>
          <w:sz w:val="28"/>
          <w:szCs w:val="28"/>
        </w:rPr>
        <w:t>（一）</w:t>
      </w:r>
      <w:bookmarkEnd w:id="87"/>
      <w:r>
        <w:rPr>
          <w:rStyle w:val="24"/>
          <w:rFonts w:hint="eastAsia" w:ascii="黑体" w:hAnsi="黑体" w:eastAsia="黑体" w:cs="黑体"/>
          <w:sz w:val="28"/>
          <w:szCs w:val="28"/>
        </w:rPr>
        <w:t>专业建设</w:t>
      </w:r>
      <w:bookmarkEnd w:id="88"/>
      <w:bookmarkEnd w:id="89"/>
      <w:bookmarkEnd w:id="90"/>
      <w:bookmarkEnd w:id="91"/>
      <w:bookmarkEnd w:id="92"/>
    </w:p>
    <w:p>
      <w:pPr>
        <w:pStyle w:val="9"/>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截至目前学校建有18个职业本科专业。学校坚持“建设一个专业（群），深度合作一个以上知名企业，服务区域一个产业”的专业建设理念，主动适应区域经济发展、产业转型升级的需求，规划设计专业群，以区域经济社会需求为导向，以服务石油化工、智能制造、汽车服务、建筑建材、节能环保、电子信息、纺织鞋服、文化创意、现代服务业等产业为主，以原有优势专业为依托，逐步调整完善本科专业（群）结构。以新工科、新商科、新文科专业建设为破局点，打造优势特色专业群，推进专业建设，提升专业服务社会的能力。做强做大新能源汽车、智能制造、新一代信息技术、石油化工、绿色人居等工科专业群，做精做特艺术设计、商贸财经类等专业群。响应福建省“做大做强做优数字经济、海洋经济、绿色经济、文旅经济”的部署要求，积极布局数字、海洋、绿色、文旅“四大经济”相关专业。围绕数字经济，建设计算机应用工程、软件工程技术、信息安全与管理等新一代信息技术专业群；围绕海洋经济，建设应用化工技术、油气储运工程等石油化工专业群；围绕绿色经济，建设建筑工程、环境艺术设计等绿色人居专业群；围绕文旅经济，建设酒店管理、休闲体育等文旅体育专业群。瞄准区域高端产业和产业高端，与华为（国科）、安踏、万华、比亚迪（行云）等行业知名企业开展深度合作，校企共建产业学院，打造人才培养供给高地。专业群设置情况详见表5：</w:t>
      </w:r>
    </w:p>
    <w:p>
      <w:pPr>
        <w:widowControl/>
        <w:jc w:val="center"/>
        <w:rPr>
          <w:rFonts w:asciiTheme="minorEastAsia" w:hAnsiTheme="minorEastAsia" w:cstheme="minorEastAsia"/>
          <w:bCs/>
          <w:color w:val="000000" w:themeColor="text1"/>
          <w:szCs w:val="21"/>
          <w14:textFill>
            <w14:solidFill>
              <w14:schemeClr w14:val="tx1"/>
            </w14:solidFill>
          </w14:textFill>
        </w:rPr>
      </w:pPr>
      <w:r>
        <w:rPr>
          <w:rFonts w:hint="eastAsia" w:asciiTheme="minorEastAsia" w:hAnsiTheme="minorEastAsia" w:cstheme="minorEastAsia"/>
          <w:bCs/>
          <w:color w:val="000000" w:themeColor="text1"/>
          <w:szCs w:val="21"/>
          <w14:textFill>
            <w14:solidFill>
              <w14:schemeClr w14:val="tx1"/>
            </w14:solidFill>
          </w14:textFill>
        </w:rPr>
        <w:t>表5：专业群设置情况一览表</w:t>
      </w:r>
    </w:p>
    <w:tbl>
      <w:tblPr>
        <w:tblStyle w:val="20"/>
        <w:tblW w:w="5313" w:type="pct"/>
        <w:jc w:val="center"/>
        <w:tblLayout w:type="fixed"/>
        <w:tblCellMar>
          <w:top w:w="0" w:type="dxa"/>
          <w:left w:w="108" w:type="dxa"/>
          <w:bottom w:w="0" w:type="dxa"/>
          <w:right w:w="108" w:type="dxa"/>
        </w:tblCellMar>
      </w:tblPr>
      <w:tblGrid>
        <w:gridCol w:w="587"/>
        <w:gridCol w:w="1344"/>
        <w:gridCol w:w="1116"/>
        <w:gridCol w:w="2352"/>
        <w:gridCol w:w="2568"/>
        <w:gridCol w:w="1089"/>
      </w:tblGrid>
      <w:tr>
        <w:tblPrEx>
          <w:tblCellMar>
            <w:top w:w="0" w:type="dxa"/>
            <w:left w:w="108" w:type="dxa"/>
            <w:bottom w:w="0" w:type="dxa"/>
            <w:right w:w="108" w:type="dxa"/>
          </w:tblCellMar>
        </w:tblPrEx>
        <w:trPr>
          <w:trHeight w:val="480"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专业群名称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专业层次</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专业群核心专业</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（核心专业代码）</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专业群内各</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themeColor="text1"/>
                <w:kern w:val="0"/>
                <w:sz w:val="21"/>
                <w:szCs w:val="21"/>
                <w:lang w:val="en-US" w:eastAsia="zh-CN"/>
                <w14:textFill>
                  <w14:solidFill>
                    <w14:schemeClr w14:val="tx1"/>
                  </w14:solidFill>
                </w14:textFill>
              </w:rPr>
              <w:t>专业名称</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成立日期</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（年月）</w:t>
            </w:r>
          </w:p>
        </w:tc>
      </w:tr>
      <w:tr>
        <w:tblPrEx>
          <w:tblCellMar>
            <w:top w:w="0" w:type="dxa"/>
            <w:left w:w="108" w:type="dxa"/>
            <w:bottom w:w="0" w:type="dxa"/>
            <w:right w:w="108" w:type="dxa"/>
          </w:tblCellMar>
        </w:tblPrEx>
        <w:trPr>
          <w:trHeight w:val="480"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新能源汽车专业群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汽车服务工程技术</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（300203）</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汽车服务工程技术，汽车制造与试验技术，新能源汽车技术</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201505</w:t>
            </w:r>
          </w:p>
        </w:tc>
      </w:tr>
      <w:tr>
        <w:tblPrEx>
          <w:tblCellMar>
            <w:top w:w="0" w:type="dxa"/>
            <w:left w:w="108" w:type="dxa"/>
            <w:bottom w:w="0" w:type="dxa"/>
            <w:right w:w="108" w:type="dxa"/>
          </w:tblCellMar>
        </w:tblPrEx>
        <w:trPr>
          <w:trHeight w:val="520"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智能制造专业群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机械设计制造及自动化</w:t>
            </w:r>
          </w:p>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（260101）</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机械设计制造及自动化，</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机电一体化技术，电子信息工程技术</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201505</w:t>
            </w:r>
          </w:p>
        </w:tc>
      </w:tr>
      <w:tr>
        <w:tblPrEx>
          <w:tblCellMar>
            <w:top w:w="0" w:type="dxa"/>
            <w:left w:w="108" w:type="dxa"/>
            <w:bottom w:w="0" w:type="dxa"/>
            <w:right w:w="108" w:type="dxa"/>
          </w:tblCellMar>
        </w:tblPrEx>
        <w:trPr>
          <w:trHeight w:val="817"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石油化工专业群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油气储运工程（220401）</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油气储运工程，应用化工技术，油气储运技术，石油化工技术</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201509</w:t>
            </w:r>
          </w:p>
        </w:tc>
      </w:tr>
      <w:tr>
        <w:tblPrEx>
          <w:tblCellMar>
            <w:top w:w="0" w:type="dxa"/>
            <w:left w:w="108" w:type="dxa"/>
            <w:bottom w:w="0" w:type="dxa"/>
            <w:right w:w="108" w:type="dxa"/>
          </w:tblCellMar>
        </w:tblPrEx>
        <w:trPr>
          <w:trHeight w:val="520"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绿色人居专业群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建筑工程（240301）</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建筑工程，工程造价，建筑室内设计，建筑工程技术，环境艺术设计</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201805</w:t>
            </w:r>
          </w:p>
        </w:tc>
      </w:tr>
      <w:tr>
        <w:tblPrEx>
          <w:tblCellMar>
            <w:top w:w="0" w:type="dxa"/>
            <w:left w:w="108" w:type="dxa"/>
            <w:bottom w:w="0" w:type="dxa"/>
            <w:right w:w="108" w:type="dxa"/>
          </w:tblCellMar>
        </w:tblPrEx>
        <w:trPr>
          <w:trHeight w:val="499"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商贸物流专业群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电子商务（330701）</w:t>
            </w:r>
          </w:p>
        </w:tc>
        <w:tc>
          <w:tcPr>
            <w:tcW w:w="1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电子商务，大数据与会计，大数据与财务管理，市场营销，现代物流管理</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202009</w:t>
            </w:r>
          </w:p>
        </w:tc>
      </w:tr>
      <w:tr>
        <w:tblPrEx>
          <w:tblCellMar>
            <w:top w:w="0" w:type="dxa"/>
            <w:left w:w="108" w:type="dxa"/>
            <w:bottom w:w="0" w:type="dxa"/>
            <w:right w:w="108" w:type="dxa"/>
          </w:tblCellMar>
        </w:tblPrEx>
        <w:trPr>
          <w:trHeight w:val="520" w:hRule="atLeast"/>
          <w:jc w:val="center"/>
        </w:trPr>
        <w:tc>
          <w:tcPr>
            <w:tcW w:w="32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6</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教育专业群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学前教育（370101）</w:t>
            </w:r>
          </w:p>
        </w:tc>
        <w:tc>
          <w:tcPr>
            <w:tcW w:w="141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学前教育，休闲体育，学前教育（专），休闲体育（专）</w:t>
            </w:r>
          </w:p>
        </w:tc>
        <w:tc>
          <w:tcPr>
            <w:tcW w:w="60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201909</w:t>
            </w:r>
          </w:p>
        </w:tc>
      </w:tr>
      <w:tr>
        <w:tblPrEx>
          <w:tblCellMar>
            <w:top w:w="0" w:type="dxa"/>
            <w:left w:w="108" w:type="dxa"/>
            <w:bottom w:w="0" w:type="dxa"/>
            <w:right w:w="108" w:type="dxa"/>
          </w:tblCellMar>
        </w:tblPrEx>
        <w:trPr>
          <w:trHeight w:val="580" w:hRule="atLeast"/>
          <w:jc w:val="center"/>
        </w:trPr>
        <w:tc>
          <w:tcPr>
            <w:tcW w:w="32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艺术设计专业群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数字媒体艺术（350103）</w:t>
            </w:r>
          </w:p>
        </w:tc>
        <w:tc>
          <w:tcPr>
            <w:tcW w:w="141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数字媒体艺术，服装与服饰设计，工艺美术，产品艺术设计</w:t>
            </w:r>
          </w:p>
        </w:tc>
        <w:tc>
          <w:tcPr>
            <w:tcW w:w="60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202009</w:t>
            </w:r>
          </w:p>
        </w:tc>
      </w:tr>
      <w:tr>
        <w:tblPrEx>
          <w:tblCellMar>
            <w:top w:w="0" w:type="dxa"/>
            <w:left w:w="108" w:type="dxa"/>
            <w:bottom w:w="0" w:type="dxa"/>
            <w:right w:w="108" w:type="dxa"/>
          </w:tblCellMar>
        </w:tblPrEx>
        <w:trPr>
          <w:trHeight w:val="560" w:hRule="atLeast"/>
          <w:jc w:val="center"/>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新一代信息技术专业群</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rPr>
              <w:t>职教本科</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计算机应用工程（310201）</w:t>
            </w:r>
          </w:p>
        </w:tc>
        <w:tc>
          <w:tcPr>
            <w:tcW w:w="14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计算机应用工程，软件工程技术，信息安全与管理，计算机应用技术</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200209</w:t>
            </w:r>
          </w:p>
        </w:tc>
      </w:tr>
    </w:tbl>
    <w:p>
      <w:pPr>
        <w:numPr>
          <w:ilvl w:val="255"/>
          <w:numId w:val="0"/>
        </w:numPr>
        <w:spacing w:line="240" w:lineRule="auto"/>
        <w:jc w:val="left"/>
        <w:outlineLvl w:val="1"/>
        <w:rPr>
          <w:rStyle w:val="24"/>
          <w:rFonts w:ascii="黑体" w:hAnsi="黑体" w:eastAsia="黑体" w:cs="黑体"/>
          <w:sz w:val="28"/>
          <w:szCs w:val="28"/>
        </w:rPr>
      </w:pPr>
      <w:bookmarkStart w:id="93" w:name="_Toc6085"/>
      <w:bookmarkStart w:id="94" w:name="_Toc5769"/>
      <w:bookmarkStart w:id="95" w:name="_Toc13731"/>
      <w:bookmarkStart w:id="96" w:name="_Toc13115"/>
      <w:bookmarkStart w:id="97" w:name="_Toc19681"/>
      <w:r>
        <w:rPr>
          <w:rStyle w:val="24"/>
          <w:rFonts w:hint="eastAsia" w:ascii="黑体" w:hAnsi="黑体" w:eastAsia="黑体" w:cs="黑体"/>
          <w:sz w:val="28"/>
          <w:szCs w:val="28"/>
        </w:rPr>
        <w:t>（二）课程建设</w:t>
      </w:r>
      <w:bookmarkEnd w:id="93"/>
      <w:bookmarkEnd w:id="94"/>
      <w:bookmarkEnd w:id="95"/>
      <w:bookmarkEnd w:id="96"/>
      <w:bookmarkEnd w:id="9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2021-2022学年学校组织职业本科课程工作坊专项培训，大力推进校级课程开发，投入专项建设经费，开展校级优质课程立项培育。各学院落实学校新修订的课程建设管理办法，加强校级优质课程和省级立项课程建设，围绕人才培养层次高阶性、技术技能高级性、支撑产业高端性和职业发展高适性，打造职业本科课程的特色和优势。任课教师不断更新课程建设理念，坚持以人才培养目标为导向开展课程建设，把握课程建设标准，正确理解各类各级课程建设标准，提高课程建设成效，掌握课程开发方法，采用信息化手段，提高课程建设力。2021-2022学年经过校级的建设、推荐申报各级各类质量工程项目，获得一定的成绩。本学年共获批省级职业教育精品在线开放课程建设项目4门、省级一流课程1门、省高校就业创业金课1门、省级教学资源库1项、泉州市学校思想政治理论课示范课1项，认证省级职业教育在线精品课程7门；立项校级优质课程22门；组织申报省级课程思政专家3人、优秀教学案例5项，省级新工科教育专家2人、优秀教学案例2项，省级课程思政示范课程2门。</w:t>
      </w:r>
    </w:p>
    <w:p>
      <w:pPr>
        <w:spacing w:line="240" w:lineRule="auto"/>
        <w:jc w:val="left"/>
        <w:outlineLvl w:val="1"/>
        <w:rPr>
          <w:rStyle w:val="24"/>
          <w:rFonts w:ascii="黑体" w:hAnsi="黑体" w:eastAsia="黑体" w:cs="黑体"/>
          <w:sz w:val="28"/>
          <w:szCs w:val="28"/>
        </w:rPr>
      </w:pPr>
      <w:bookmarkStart w:id="98" w:name="_Toc24864"/>
      <w:bookmarkStart w:id="99" w:name="_Toc27852"/>
      <w:bookmarkStart w:id="100" w:name="_Toc6770"/>
      <w:bookmarkStart w:id="101" w:name="_Toc2077"/>
      <w:bookmarkStart w:id="102" w:name="_Toc25041"/>
      <w:r>
        <w:rPr>
          <w:rStyle w:val="24"/>
          <w:rFonts w:hint="eastAsia" w:ascii="黑体" w:hAnsi="黑体" w:eastAsia="黑体" w:cs="黑体"/>
          <w:sz w:val="28"/>
          <w:szCs w:val="28"/>
        </w:rPr>
        <w:t>（三）教材建设</w:t>
      </w:r>
      <w:bookmarkEnd w:id="98"/>
      <w:bookmarkEnd w:id="99"/>
      <w:bookmarkEnd w:id="100"/>
      <w:bookmarkEnd w:id="101"/>
      <w:bookmarkEnd w:id="102"/>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学校高度重视教材管理和使用工作，成立教材工作领导小组，结合我校实际和上级相关文件精神修订《泉州职业技术大学教材建设与管理规定》，进一步统筹推进各类教材的征订和使用管理，规范教材编写流程。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严格把关教材的政治方向和价值导向，鼓励选用马克思主义理论研究和建设工程重点教材（简称“马工程”教材）、国家级和省部级规划（获奖）教材、统编教材等，提升教材选用质量。定期组织教材专项排查工作，排查教材的封面、内容、插画和引文是否正确等，杜绝问题教材流入课堂，切实保障教材使用的水平和质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积极鼓励教师出版自编教材，切实推动教材立项建设工作，2018年起启动校级自编教材至今，已立项建设三批校级自编教材，同时积极组织教学团队遴选优秀教材（实验实训指导书）、集体编写讲义，进行教学内容二次开发与设计，推动校企共同制定、开发活页式、工作手册式等新形态教材。</w:t>
      </w:r>
    </w:p>
    <w:p>
      <w:pPr>
        <w:spacing w:line="240" w:lineRule="auto"/>
        <w:jc w:val="left"/>
        <w:outlineLvl w:val="1"/>
        <w:rPr>
          <w:rStyle w:val="24"/>
          <w:rFonts w:ascii="黑体" w:hAnsi="黑体" w:eastAsia="黑体" w:cs="黑体"/>
          <w:sz w:val="28"/>
          <w:szCs w:val="28"/>
        </w:rPr>
      </w:pPr>
      <w:bookmarkStart w:id="103" w:name="_Toc5081"/>
      <w:bookmarkStart w:id="104" w:name="_Toc19227"/>
      <w:bookmarkStart w:id="105" w:name="_Toc15308"/>
      <w:bookmarkStart w:id="106" w:name="_Toc17819"/>
      <w:bookmarkStart w:id="107" w:name="_Toc31695"/>
      <w:r>
        <w:rPr>
          <w:rStyle w:val="24"/>
          <w:rFonts w:hint="eastAsia" w:ascii="黑体" w:hAnsi="黑体" w:eastAsia="黑体" w:cs="黑体"/>
          <w:sz w:val="28"/>
          <w:szCs w:val="28"/>
        </w:rPr>
        <w:t>（四）教学改革</w:t>
      </w:r>
      <w:bookmarkEnd w:id="103"/>
      <w:bookmarkEnd w:id="104"/>
      <w:bookmarkEnd w:id="105"/>
      <w:bookmarkEnd w:id="106"/>
      <w:bookmarkEnd w:id="10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通过教学工作会议、教学工作例会、专项会议，宣贯并引导全体教师深刻领会国家深化职业教育改革的精神要求，充分认清职业本科教育与高职教育的区别，从职业属性、本科层次、导向要求、试点探索等方面科学把握职业本科教育质量标准。在“课岗赛证”基础上进一步提出“理论+实践+竞赛+取证+社会服务”五位一体的模块化课程体系重构，深入推进职业本科教学改革。</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进一步发挥教学基层单位的组织作用，建设学习共同体，围绕“三教”改革，推进产教深度融合，先后开展竞赛工作坊、课程开发工作坊系列培训，落实我校课程建设管理方案，通过专项研修班增强了教师的职业本科课程开发能力，促进了本科专业的课程建设能力，为提高职业本科教学质量提供了</w:t>
      </w:r>
      <w:r>
        <w:rPr>
          <w:rFonts w:hint="eastAsia" w:ascii="宋体" w:hAnsi="宋体" w:eastAsia="宋体" w:cs="宋体"/>
          <w:sz w:val="24"/>
          <w:lang w:eastAsia="zh-CN"/>
        </w:rPr>
        <w:t>有力支撑</w:t>
      </w:r>
      <w:r>
        <w:rPr>
          <w:rFonts w:hint="eastAsia" w:ascii="宋体" w:hAnsi="宋体" w:eastAsia="宋体" w:cs="宋体"/>
          <w:sz w:val="24"/>
        </w:rPr>
        <w:t>。围绕人才培养层次高阶性，技术技能高级性，支撑产业高端性和职业发展高适性，进行教学改革来打造职业本科特色。</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通过教学改革促进教学团队深耕课程建设，明确职业本科课程教学目标，课程内容对接职业标准，教学过程对接生产过程，将新技术、新工艺、新规范及1+X证书等纳入教学标准和教学内容，实现公共通识教育服务专业课程的“通专融合”，将“三创”教育融入专业教育，实现专创融合；聚焦资源，促进教育教学改革，推动校级培育均衡发展。2021-2022学年共有14个1+X证书的1752名学生参加考核。改革项目参加省级教学创新大赛获三等奖1项，参加省级教学职业院校技能大赛教学能力比赛获二等奖1项、三等奖3项，参加外研社“教学之星”大赛获二等奖2项。教育教学改革成果参与校级教学成果奖评选，共有特等奖5项、一等奖4项、二等奖5项，获省级教学成果奖二等奖1项。</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结合学校三全育人工作，全员全课程全过程开展课程育人工作，优化课程育人教学设计，在教学理念、教学思路、内容形式、方法手段等方面积极创新，体现育人和价值塑造，组织教学团队以润物细无声的方式开展思政教育。每个基层教学组织单位形成至少1个“课程思政”案例，</w:t>
      </w:r>
      <w:r>
        <w:rPr>
          <w:rFonts w:hint="eastAsia" w:ascii="宋体" w:hAnsi="宋体" w:eastAsia="宋体" w:cs="宋体"/>
          <w:sz w:val="24"/>
          <w:lang w:eastAsia="zh-CN"/>
        </w:rPr>
        <w:t>择优</w:t>
      </w:r>
      <w:r>
        <w:rPr>
          <w:rFonts w:hint="eastAsia" w:ascii="宋体" w:hAnsi="宋体" w:eastAsia="宋体" w:cs="宋体"/>
          <w:sz w:val="24"/>
        </w:rPr>
        <w:t>推荐18个校级课程思政案例，学校经过校级评审，遴选具有福建省精品在线课程和一流课程基础的《方案的经济比较与选择</w:t>
      </w:r>
      <w:r>
        <w:rPr>
          <w:rFonts w:hint="eastAsia" w:ascii="宋体" w:hAnsi="宋体" w:eastAsia="宋体" w:cs="宋体"/>
          <w:sz w:val="24"/>
          <w:lang w:eastAsia="zh-CN"/>
        </w:rPr>
        <w:t>－－</w:t>
      </w:r>
      <w:r>
        <w:rPr>
          <w:rFonts w:hint="eastAsia" w:ascii="宋体" w:hAnsi="宋体" w:eastAsia="宋体" w:cs="宋体"/>
          <w:sz w:val="24"/>
        </w:rPr>
        <w:t>工程经济学》等5个案例推荐福建省高校课程思政优秀教学案例。根据学校办学定位、培养目标和学科专业优势，发掘晋江独特的红色传统文化，开发我校特点特色的“课程思政”系列特色课程。如人居环境学院融合传统文化、红色文化、社会主义核心价值观等元素，创作富有内涵和特色的乡村微景观，多个项目获奖并被“中国新闻网”“福建公共频道”等媒体报道。2022年择优推荐《景观建筑工程技术》《中华优秀传统文化》两门课程申报福建省课程思政示范项目。</w:t>
      </w:r>
    </w:p>
    <w:p>
      <w:pPr>
        <w:spacing w:line="240" w:lineRule="auto"/>
        <w:jc w:val="left"/>
        <w:outlineLvl w:val="1"/>
        <w:rPr>
          <w:rStyle w:val="24"/>
          <w:rFonts w:ascii="黑体" w:hAnsi="黑体" w:eastAsia="黑体" w:cs="黑体"/>
          <w:sz w:val="28"/>
          <w:szCs w:val="28"/>
        </w:rPr>
      </w:pPr>
      <w:bookmarkStart w:id="108" w:name="_Toc31626"/>
      <w:bookmarkStart w:id="109" w:name="_Toc12798"/>
      <w:bookmarkStart w:id="110" w:name="_Toc22498"/>
      <w:bookmarkStart w:id="111" w:name="_Toc5833"/>
      <w:bookmarkStart w:id="112" w:name="_Toc25462"/>
      <w:r>
        <w:rPr>
          <w:rStyle w:val="24"/>
          <w:rFonts w:hint="eastAsia" w:ascii="黑体" w:hAnsi="黑体" w:eastAsia="黑体" w:cs="黑体"/>
          <w:sz w:val="28"/>
          <w:szCs w:val="28"/>
        </w:rPr>
        <w:t>（五）课堂教学规模</w:t>
      </w:r>
      <w:bookmarkEnd w:id="108"/>
      <w:bookmarkEnd w:id="109"/>
      <w:bookmarkEnd w:id="110"/>
      <w:bookmarkEnd w:id="111"/>
      <w:bookmarkEnd w:id="112"/>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深化教育改革，积极推进小班教学和分组教学。2021-2022学年，50人以下教学班共2245个，占全校本科教学班级总数的72.07%，其中，30人以下教学班共310个，占全校本科教学班级总数的9.95%。</w:t>
      </w:r>
    </w:p>
    <w:p>
      <w:pPr>
        <w:spacing w:line="240" w:lineRule="auto"/>
        <w:jc w:val="left"/>
        <w:outlineLvl w:val="1"/>
        <w:rPr>
          <w:rStyle w:val="24"/>
          <w:rFonts w:ascii="黑体" w:hAnsi="黑体" w:eastAsia="黑体" w:cs="黑体"/>
          <w:sz w:val="28"/>
          <w:szCs w:val="28"/>
        </w:rPr>
      </w:pPr>
      <w:bookmarkStart w:id="113" w:name="_Toc6004"/>
      <w:bookmarkStart w:id="114" w:name="_Toc7900"/>
      <w:bookmarkStart w:id="115" w:name="_Toc26115"/>
      <w:bookmarkStart w:id="116" w:name="_Toc6515"/>
      <w:bookmarkStart w:id="117" w:name="_Toc9791"/>
      <w:r>
        <w:rPr>
          <w:rStyle w:val="24"/>
          <w:rFonts w:hint="eastAsia" w:ascii="黑体" w:hAnsi="黑体" w:eastAsia="黑体" w:cs="黑体"/>
          <w:sz w:val="28"/>
          <w:szCs w:val="28"/>
        </w:rPr>
        <w:t>（六）实践教学</w:t>
      </w:r>
      <w:bookmarkEnd w:id="113"/>
      <w:bookmarkEnd w:id="114"/>
      <w:bookmarkEnd w:id="115"/>
      <w:bookmarkEnd w:id="116"/>
      <w:bookmarkEnd w:id="11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18" w:name="_Toc17478"/>
      <w:r>
        <w:rPr>
          <w:rFonts w:hint="eastAsia" w:ascii="宋体" w:hAnsi="宋体" w:eastAsia="宋体" w:cs="宋体"/>
          <w:sz w:val="24"/>
        </w:rPr>
        <w:t>为全面贯彻落实《国家职业教育改革实施方案》文件精神，深化产教融合校企合作，推动职业教育改革发展，学校高度重视实践教学管理工作，不断加强和完善实践教学管理，使其规范化、合理化和科学化。具体如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1.实践教学工作实行校、院两级管理，学校教务处负责全校实践教学工作的规划、审核、评估及重要问题的协调处理，学院根据专业特色制定教学大纲，负责各专业实践教学活动的具体实施和管理工作。</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2.实践教学环节采取集中与分散、校内与校外、实践与教学相结合等多种方式进行。典型案例如下：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中营汽车学院与行云新能科技（深圳）有限公司合作共建行云新能源汽车学院。随着校企合作协议的签订，标志着新能源汽车技术专业课程“一课双师”模式正式启动。一课双师是深化教育教学改革，推进协同育人的重要举措，是推进应用型人才培养的重要途径。新能源汽车专业学生利用小学期集中实训开展行云新能源汽车实训课、岗前素养培训，通过“望闻问切”开展整车综合故障诊断与维修，治疗故障车辆，培养高素质汽车医生。通过邀请企业导师参与人才培养方案制定、专业课程授课等环节，着重加强理论与实践相结合，提升学生应用型能力，同时，通过“一课双师”教学模式创新，构建应用型双师结构教学团队，提高了教学的有效性、实用性。</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教育学院学前教育专业在集中实践环节开展教学技能比赛、环境创设实践活动。通过教学技能比赛让学生充分了解幼儿园保教工作基本规范，掌握教育活动设计与实施理念、原则与方法，基于幼儿发展需求和学习特点，组织集体教学活动。该比赛大大提升了学生的教学本领和教学水平，提高了教学理论与教育实践相结合的能力。环境创设在幼儿园中充当着不可或缺的作用，为培养学生掌握幼儿园环境创设的基本知识和技能，合理运用绘画、手工等技巧进行创作，学院组织开展环境创设活动在展示教学成果的同时也增进了同学之间的交流、学习与合作，既展现了学生学以致用的能力，又充分展示了他们勇于尝试和探索、积极思考和创新的优秀品质和良好风采。</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艺术传媒学院数字媒体艺术专业聚焦泰宁独特的自然景观和人文特色，以助力泰宁县全域旅游发展为重点，开展“帮扶泰宁专项活动”。泉大学子探寻泰宁本地风俗人情和当地文化，并深入了解村史，结合当地非遗文化梅林戏，创作一部非遗文化影视作品，学院该项专业实践活动得到了泰宁当地基层党政和人民群众的热烈欢迎。</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3.为切实加强毕业设计（论文）的管理，确保2023届本科毕业设计（论文）工作顺利开展，学校组织修订了《2023届毕业设计（论文）工作实施方案》，要求各学院依据本科毕业设计（论文）工作推进表，结合学院实际情况制定本学院本科学生毕业设计（论文）工作方案。同时启用强智教务毕业设计（论文）管理系统，利用信息化手段对毕业设计（论文）进行管理。人居环境学院建筑工程专业学生在小学期期间按照“全天坐班制”展开毕业设计，教师通过“课表制”进行毕业设计指导。线上线下相结合，零距离“一对一”沟通，实时指导，答疑解惑。从选题、过程控制、模型制作等方面的完善与修改，提出了详细的意见。定期与在实验中有困难学生及时沟通解决，使学生能够按时完成论文并在答辩前通过学术检测。学生答辩以图文并茂的形式展现，结合PPT阐述毕业设计课题所涉及的理论、研究方法及研究成果，同时邀请企业专家采用“云答辩”方式远程视频指导。</w:t>
      </w:r>
    </w:p>
    <w:p>
      <w:pPr>
        <w:spacing w:line="240" w:lineRule="auto"/>
        <w:jc w:val="left"/>
        <w:outlineLvl w:val="1"/>
        <w:rPr>
          <w:rStyle w:val="24"/>
          <w:rFonts w:ascii="黑体" w:hAnsi="黑体" w:eastAsia="黑体" w:cs="黑体"/>
          <w:sz w:val="28"/>
          <w:szCs w:val="28"/>
        </w:rPr>
      </w:pPr>
      <w:bookmarkStart w:id="119" w:name="_Toc20217"/>
      <w:bookmarkStart w:id="120" w:name="_Toc4223"/>
      <w:bookmarkStart w:id="121" w:name="_Toc12601"/>
      <w:bookmarkStart w:id="122" w:name="_Toc16096"/>
      <w:r>
        <w:rPr>
          <w:rStyle w:val="24"/>
          <w:rFonts w:hint="eastAsia" w:ascii="黑体" w:hAnsi="黑体" w:eastAsia="黑体" w:cs="黑体"/>
          <w:sz w:val="28"/>
          <w:szCs w:val="28"/>
        </w:rPr>
        <w:t>（七）创新创业教育</w:t>
      </w:r>
      <w:bookmarkEnd w:id="118"/>
      <w:bookmarkEnd w:id="119"/>
      <w:bookmarkEnd w:id="120"/>
      <w:bookmarkEnd w:id="121"/>
      <w:bookmarkEnd w:id="122"/>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我校聚焦学生专业核心技能和创新创业能力培养，以“互联网+”大学生创新创业大赛为抓手，坚持以学生为根，以育人为本，打造专业化师资队伍，夯实“三创”育人基础；信息化办赛，通过各类新媒体手段全方位多层次宣传创新创业大赛，扩大赛事影响力；通过开展项目路演，校赛集训营等专题培训，推动创新创业竞赛工作。学年内共开展创新创业培训20余次，参训师生人次达1162人次；参与创新创业竞赛全日制本科在校学生达到3903人；在第八届“互联网+”大学生创新创业大赛中共申报1720项，获得省赛参赛名额高教主赛道3项、青年红色筑梦之旅2项、职教赛道7项；获得省赛铜奖7个。在其他创新创业类竞赛取得新突破，获得第十二届“挑战杯”福建省大学生创业计划竞赛金奖2项、银奖2项、铜奖4项的优异成绩，实现了获奖数量和质量的历史性双突破，学校同时获得“优秀组织奖”称号，2组项目进入国赛；获得2021年海峡两岸女大学生创新创业大赛铜奖，我校获优秀组织奖；获得第九届“创青春”中国青年创新创业大赛（数字经济专项）国赛铜奖，实现我校在“创青春”大赛的重大突破；获得2022年中美青年创客赛厦门分赛区一等奖1项，三等奖1项。</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积极贯彻落实《国务院办公厅关于进一步支持大学生创新创业的指导意见</w:t>
      </w:r>
      <w:r>
        <w:rPr>
          <w:rFonts w:hint="eastAsia" w:ascii="宋体" w:hAnsi="宋体" w:eastAsia="宋体" w:cs="宋体"/>
          <w:sz w:val="24"/>
          <w:lang w:eastAsia="zh-CN"/>
        </w:rPr>
        <w:t>》《</w:t>
      </w:r>
      <w:r>
        <w:rPr>
          <w:rFonts w:hint="eastAsia" w:ascii="宋体" w:hAnsi="宋体" w:eastAsia="宋体" w:cs="宋体"/>
          <w:sz w:val="24"/>
        </w:rPr>
        <w:t>国务院办公厅关于深化高等学校创新创业教育改革的实施意见</w:t>
      </w:r>
      <w:r>
        <w:rPr>
          <w:rFonts w:hint="eastAsia" w:ascii="宋体" w:hAnsi="宋体" w:eastAsia="宋体" w:cs="宋体"/>
          <w:sz w:val="24"/>
          <w:lang w:eastAsia="zh-CN"/>
        </w:rPr>
        <w:t>》《</w:t>
      </w:r>
      <w:r>
        <w:rPr>
          <w:rFonts w:hint="eastAsia" w:ascii="宋体" w:hAnsi="宋体" w:eastAsia="宋体" w:cs="宋体"/>
          <w:sz w:val="24"/>
        </w:rPr>
        <w:t>国务院办公厅关于发展众创空间推进大众创新创业的指导意见</w:t>
      </w:r>
      <w:r>
        <w:rPr>
          <w:rFonts w:hint="eastAsia" w:ascii="宋体" w:hAnsi="宋体" w:eastAsia="宋体" w:cs="宋体"/>
          <w:sz w:val="24"/>
          <w:lang w:eastAsia="zh-CN"/>
        </w:rPr>
        <w:t>》《</w:t>
      </w:r>
      <w:r>
        <w:rPr>
          <w:rFonts w:hint="eastAsia" w:ascii="宋体" w:hAnsi="宋体" w:eastAsia="宋体" w:cs="宋体"/>
          <w:sz w:val="24"/>
        </w:rPr>
        <w:t>福建省教育厅关于深化高等学校创新创业教育改革十六条措施的通知</w:t>
      </w:r>
      <w:r>
        <w:rPr>
          <w:rFonts w:hint="eastAsia" w:ascii="宋体" w:hAnsi="宋体" w:eastAsia="宋体" w:cs="宋体"/>
          <w:sz w:val="24"/>
          <w:lang w:eastAsia="zh-CN"/>
        </w:rPr>
        <w:t>》《</w:t>
      </w:r>
      <w:r>
        <w:rPr>
          <w:rFonts w:hint="eastAsia" w:ascii="宋体" w:hAnsi="宋体" w:eastAsia="宋体" w:cs="宋体"/>
          <w:sz w:val="24"/>
        </w:rPr>
        <w:t>福建省教育厅关于进一步加强高校创新创业教育课程体系建设的指导意见》等文件精神，结合职业教育本科专业人培要求，将创新创业教育贯穿教学全过程，将创新创业精神培养融入专业教育，积极探索培养学生创新创业精神和实践能力，激发学生学习积极性与主动性、促进学生全面发展做出系列相关举措，具体如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1.培养创新创业意识。学校制定百名大学生科研助理培养计划，开启全新创新培训模式，为本科生配置科研导师，帮助具备一定科研基础的本科生持续深耕。科研助理选拔经过个人报名、辅导员筛选、指导教师面试、专家评审等环节，最终确定名单，在科研导师的指导下，参与课题研究。科研导师面向大学生开展高质量、有针对性的创新创业培训，提升大学生创新创业能力。</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2.强化创新创业实践。根据《国务院办公厅关于进一步支持大学生创新创业的指导意见</w:t>
      </w:r>
      <w:r>
        <w:rPr>
          <w:rFonts w:hint="eastAsia" w:ascii="宋体" w:hAnsi="宋体" w:eastAsia="宋体" w:cs="宋体"/>
          <w:sz w:val="24"/>
          <w:lang w:eastAsia="zh-CN"/>
        </w:rPr>
        <w:t>》《</w:t>
      </w:r>
      <w:r>
        <w:rPr>
          <w:rFonts w:hint="eastAsia" w:ascii="宋体" w:hAnsi="宋体" w:eastAsia="宋体" w:cs="宋体"/>
          <w:sz w:val="24"/>
        </w:rPr>
        <w:t>福建省教育厅办公室关于做好2022年大学生创新创业训练计划项目申报和结题验收工作的通知》等文件精神，学校积极组织学生申报2022年大学生创新创业训练计划项目。经过遴选，申报2022年大学生创新创业训练计划项目共28项，省级项目23项，国家级项目5项（其中重点支持领域项目1项），参与项目学生103人，通过参与具体项目的实践，提升大学生创新创业素养。</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3.完善创新创业制度。学校先后制定《大学生科研助理培养计划》为具有一定科研能力和科研热情的大学生提供参与科研项目的实践机会，激发学生对科学研究的兴趣；完善《科研业绩分计算办法》鼓励科研导师指导学生积累科研成果，并给本科生计算科研业绩分；在《大学生手册》中明确学生科研成果的素质拓展分计算办法等为大学生创新创业提供制度保障；结合我校实际对大学生创新创业训练计划项目提供经费配套支持为大学生创新创业提供资金保障。</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4.参加创新创业赛事。立足创新创业人才培养的主线工作，组织师生参加各类创新创业赛事，在赛事中磨炼成长。众创空间以全国互联网+、创青春、职业挑战杯等各类创新创业大赛为载体，充分发动宣传，扩大参与面，层层筛选与辅导提升，推选优秀成果参加全国、省市大赛。通过以赛促学、以赛促训，创新实践模式，切实提高学生的创新精神、创业意识和实战模拟能力，创新创业成果层见叠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2022年，在第九届“创青春”中国青年创新创业大赛（数字经济专项）中，我校智能制造学院《火眼寻瑕——探索陶瓷奥秘》项目冲进国赛（全国仅100项），历史性获得铜奖，实现我校中国青年创新创业大赛的重大突破。在2022年中美青年创客大赛厦门分赛区选拔赛中我校学生获一等奖1项，三等奖1项，相较往年成绩有所突破。在第十二届“挑战杯”福建省大学生创业计划竞赛中，我校获得金奖2项、银奖2项、铜奖4项的优异成绩，实现了获奖数量和质量的历史性双突破，获奖总数在福建省排名第三，泉州高校排名第一。</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仿宋_GB2312" w:hAnsi="仿宋_GB2312" w:eastAsia="仿宋_GB2312" w:cs="仿宋_GB2312"/>
          <w:sz w:val="32"/>
          <w:szCs w:val="32"/>
        </w:rPr>
      </w:pPr>
      <w:r>
        <w:rPr>
          <w:rFonts w:hint="eastAsia" w:ascii="宋体" w:hAnsi="宋体" w:eastAsia="宋体" w:cs="宋体"/>
          <w:sz w:val="24"/>
        </w:rPr>
        <w:t>学生的双创精神在各类赛事中得到了整体的锻炼和提升。激发了学生学习、创业的热情，促使学生创新能力、实践能力、专业技能不断提高，实现全面提高大学生的综合素质，为社会培养更多的创业者和“创业型”人才。</w:t>
      </w:r>
    </w:p>
    <w:p>
      <w:pPr>
        <w:pStyle w:val="3"/>
        <w:spacing w:line="240" w:lineRule="auto"/>
        <w:jc w:val="left"/>
        <w:rPr>
          <w:sz w:val="30"/>
          <w:szCs w:val="30"/>
        </w:rPr>
      </w:pPr>
      <w:bookmarkStart w:id="123" w:name="_Toc28768"/>
      <w:bookmarkStart w:id="124" w:name="_Toc24018"/>
      <w:bookmarkStart w:id="125" w:name="_Toc294"/>
      <w:bookmarkStart w:id="126" w:name="_Toc12205"/>
      <w:bookmarkStart w:id="127" w:name="_Toc29026"/>
      <w:bookmarkStart w:id="128" w:name="_Toc24934"/>
      <w:r>
        <w:rPr>
          <w:rFonts w:hint="eastAsia"/>
          <w:sz w:val="30"/>
          <w:szCs w:val="30"/>
        </w:rPr>
        <w:t>四、专业培养能力</w:t>
      </w:r>
      <w:bookmarkEnd w:id="123"/>
      <w:bookmarkEnd w:id="124"/>
      <w:bookmarkEnd w:id="125"/>
      <w:bookmarkEnd w:id="126"/>
      <w:bookmarkEnd w:id="127"/>
      <w:bookmarkEnd w:id="128"/>
    </w:p>
    <w:p>
      <w:pPr>
        <w:spacing w:line="240" w:lineRule="auto"/>
        <w:jc w:val="left"/>
        <w:outlineLvl w:val="1"/>
        <w:rPr>
          <w:rStyle w:val="24"/>
          <w:rFonts w:ascii="黑体" w:hAnsi="黑体" w:eastAsia="黑体" w:cs="黑体"/>
          <w:sz w:val="28"/>
          <w:szCs w:val="28"/>
        </w:rPr>
      </w:pPr>
      <w:bookmarkStart w:id="129" w:name="_Toc26468"/>
      <w:bookmarkStart w:id="130" w:name="_Toc7261"/>
      <w:bookmarkStart w:id="131" w:name="_Toc27456"/>
      <w:bookmarkStart w:id="132" w:name="_Toc3837"/>
      <w:bookmarkStart w:id="133" w:name="_Toc18022"/>
      <w:r>
        <w:rPr>
          <w:rStyle w:val="24"/>
          <w:rFonts w:hint="eastAsia" w:ascii="黑体" w:hAnsi="黑体" w:eastAsia="黑体" w:cs="黑体"/>
          <w:sz w:val="28"/>
          <w:szCs w:val="28"/>
        </w:rPr>
        <w:t>（一）本科培养目标定位</w:t>
      </w:r>
      <w:bookmarkEnd w:id="129"/>
      <w:bookmarkEnd w:id="130"/>
      <w:bookmarkEnd w:id="131"/>
      <w:bookmarkEnd w:id="132"/>
      <w:bookmarkEnd w:id="133"/>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以习近平新时代中国特色社会主义思想为指导，以党的教育方针为根本，落实立德树人根本任务，探索设计以服务区域产业为导向，以培养学生胜任职业岗位（群）工作与可持续性发展为目标，构建专业课程体系，培养德智体美劳全面发展，具有“一宽三强”（宽知识面、强职业能力和素质、强创新能力、强终身学习能力）特点的高层次技术技能人才。</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学校人才培养方案制定，在专业调研的基础上，围绕职业岗位群，召开有行业企业、相关专业专家等参与的专业建设委员会讨论审议，形成</w:t>
      </w:r>
      <w:r>
        <w:rPr>
          <w:rFonts w:hint="eastAsia" w:ascii="宋体" w:hAnsi="宋体" w:eastAsia="宋体" w:cs="宋体"/>
          <w:sz w:val="24"/>
          <w:lang w:eastAsia="zh-CN"/>
        </w:rPr>
        <w:t>翔实的</w:t>
      </w:r>
      <w:r>
        <w:rPr>
          <w:rFonts w:hint="eastAsia" w:ascii="宋体" w:hAnsi="宋体" w:eastAsia="宋体" w:cs="宋体"/>
          <w:sz w:val="24"/>
        </w:rPr>
        <w:t>专业设置可行性报告，包括对行业、企业、毕业生等的调研分析，对自身办学基础和专业特色的分析，结合专业特点和社会需求趋势，确定具体培养目标和基本要求。以专业群为基准开展课程体系重构，建构满足专业群岗位共性需求、专业差异化需求、学生自我发展需求的多样化课程模块。加强实践教学，突出综合性、设计性、创新性和研究性教学项目的设计和训练，将职业技能等级标准有关内容及要求有机融入专业课程教学，优化专业人才培养方案。</w:t>
      </w:r>
    </w:p>
    <w:p>
      <w:pPr>
        <w:numPr>
          <w:ilvl w:val="255"/>
          <w:numId w:val="0"/>
        </w:numPr>
        <w:spacing w:line="240" w:lineRule="auto"/>
        <w:jc w:val="left"/>
        <w:outlineLvl w:val="1"/>
        <w:rPr>
          <w:rStyle w:val="24"/>
          <w:rFonts w:ascii="黑体" w:hAnsi="黑体" w:eastAsia="黑体" w:cs="黑体"/>
          <w:sz w:val="28"/>
          <w:szCs w:val="28"/>
        </w:rPr>
      </w:pPr>
      <w:bookmarkStart w:id="134" w:name="_Toc18552"/>
      <w:bookmarkStart w:id="135" w:name="_Toc12671"/>
      <w:bookmarkStart w:id="136" w:name="_Toc29293"/>
      <w:bookmarkStart w:id="137" w:name="_Toc2966"/>
      <w:bookmarkStart w:id="138" w:name="_Toc30212"/>
      <w:r>
        <w:rPr>
          <w:rStyle w:val="24"/>
          <w:rFonts w:hint="eastAsia" w:ascii="黑体" w:hAnsi="黑体" w:eastAsia="黑体" w:cs="黑体"/>
          <w:sz w:val="28"/>
          <w:szCs w:val="28"/>
        </w:rPr>
        <w:t>（二）专业基本教学条件</w:t>
      </w:r>
      <w:bookmarkEnd w:id="134"/>
      <w:bookmarkEnd w:id="135"/>
      <w:bookmarkEnd w:id="136"/>
      <w:bookmarkEnd w:id="137"/>
      <w:bookmarkEnd w:id="138"/>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39" w:name="_Toc23083"/>
      <w:r>
        <w:rPr>
          <w:rFonts w:hint="eastAsia" w:ascii="宋体" w:hAnsi="宋体" w:eastAsia="宋体" w:cs="宋体"/>
          <w:sz w:val="24"/>
        </w:rPr>
        <w:t>学校具有较强的教学、科研力量，配置专、兼职结合的教师队伍，专任教师总数不高于1：18生师比的标准要求，具有硕士及以上学位的教师占专任教师总数比例均不低于50%，双师型教师比例均高于50%，探索组建高水平、结构化教师教学创新团队，教师分工合作实现模块化教学。</w:t>
      </w:r>
      <w:bookmarkEnd w:id="139"/>
    </w:p>
    <w:p>
      <w:pPr>
        <w:widowControl/>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表6：各专业专职专任教师数量结构</w:t>
      </w:r>
    </w:p>
    <w:tbl>
      <w:tblPr>
        <w:tblStyle w:val="20"/>
        <w:tblW w:w="4997" w:type="pct"/>
        <w:tblInd w:w="0" w:type="dxa"/>
        <w:tblLayout w:type="autofit"/>
        <w:tblCellMar>
          <w:top w:w="0" w:type="dxa"/>
          <w:left w:w="108" w:type="dxa"/>
          <w:bottom w:w="0" w:type="dxa"/>
          <w:right w:w="108" w:type="dxa"/>
        </w:tblCellMar>
      </w:tblPr>
      <w:tblGrid>
        <w:gridCol w:w="966"/>
        <w:gridCol w:w="1285"/>
        <w:gridCol w:w="1000"/>
        <w:gridCol w:w="922"/>
        <w:gridCol w:w="1077"/>
        <w:gridCol w:w="922"/>
        <w:gridCol w:w="1422"/>
        <w:gridCol w:w="923"/>
      </w:tblGrid>
      <w:tr>
        <w:tblPrEx>
          <w:tblCellMar>
            <w:top w:w="0" w:type="dxa"/>
            <w:left w:w="108" w:type="dxa"/>
            <w:bottom w:w="0" w:type="dxa"/>
            <w:right w:w="108" w:type="dxa"/>
          </w:tblCellMar>
        </w:tblPrEx>
        <w:trPr>
          <w:trHeight w:val="740" w:hRule="atLeast"/>
        </w:trPr>
        <w:tc>
          <w:tcPr>
            <w:tcW w:w="132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color w:val="000000" w:themeColor="text1"/>
                <w:sz w:val="21"/>
                <w:szCs w:val="21"/>
                <w14:textFill>
                  <w14:solidFill>
                    <w14:schemeClr w14:val="tx1"/>
                  </w14:solidFill>
                </w14:textFill>
              </w:rPr>
            </w:pP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总人数</w:t>
            </w:r>
            <w:r>
              <w:rPr>
                <w:rFonts w:hint="eastAsia" w:ascii="宋体" w:hAnsi="宋体" w:eastAsia="宋体" w:cs="宋体"/>
                <w:b/>
                <w:color w:val="000000" w:themeColor="text1"/>
                <w:sz w:val="21"/>
                <w:szCs w:val="21"/>
                <w:lang w:bidi="ar"/>
                <w14:textFill>
                  <w14:solidFill>
                    <w14:schemeClr w14:val="tx1"/>
                  </w14:solidFill>
                </w14:textFill>
              </w:rPr>
              <w:br w:type="textWrapping"/>
            </w:r>
            <w:r>
              <w:rPr>
                <w:rFonts w:hint="eastAsia" w:ascii="宋体" w:hAnsi="宋体" w:eastAsia="宋体" w:cs="宋体"/>
                <w:b/>
                <w:color w:val="000000" w:themeColor="text1"/>
                <w:sz w:val="21"/>
                <w:szCs w:val="21"/>
                <w:lang w:bidi="ar"/>
                <w14:textFill>
                  <w14:solidFill>
                    <w14:schemeClr w14:val="tx1"/>
                  </w14:solidFill>
                </w14:textFill>
              </w:rPr>
              <w:t>（509）</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占比</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专业教师</w:t>
            </w:r>
            <w:r>
              <w:rPr>
                <w:rFonts w:hint="eastAsia" w:ascii="宋体" w:hAnsi="宋体" w:eastAsia="宋体" w:cs="宋体"/>
                <w:b/>
                <w:color w:val="000000" w:themeColor="text1"/>
                <w:sz w:val="21"/>
                <w:szCs w:val="21"/>
                <w:lang w:bidi="ar"/>
                <w14:textFill>
                  <w14:solidFill>
                    <w14:schemeClr w14:val="tx1"/>
                  </w14:solidFill>
                </w14:textFill>
              </w:rPr>
              <w:br w:type="textWrapping"/>
            </w:r>
            <w:r>
              <w:rPr>
                <w:rFonts w:hint="eastAsia" w:ascii="宋体" w:hAnsi="宋体" w:eastAsia="宋体" w:cs="宋体"/>
                <w:b/>
                <w:color w:val="000000" w:themeColor="text1"/>
                <w:sz w:val="21"/>
                <w:szCs w:val="21"/>
                <w:lang w:bidi="ar"/>
                <w14:textFill>
                  <w14:solidFill>
                    <w14:schemeClr w14:val="tx1"/>
                  </w14:solidFill>
                </w14:textFill>
              </w:rPr>
              <w:t>（78%）</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占比</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其中双师型</w:t>
            </w:r>
            <w:r>
              <w:rPr>
                <w:rFonts w:hint="eastAsia" w:ascii="宋体" w:hAnsi="宋体" w:eastAsia="宋体" w:cs="宋体"/>
                <w:b/>
                <w:color w:val="000000" w:themeColor="text1"/>
                <w:sz w:val="21"/>
                <w:szCs w:val="21"/>
                <w:lang w:bidi="ar"/>
                <w14:textFill>
                  <w14:solidFill>
                    <w14:schemeClr w14:val="tx1"/>
                  </w14:solidFill>
                </w14:textFill>
              </w:rPr>
              <w:br w:type="textWrapping"/>
            </w:r>
            <w:r>
              <w:rPr>
                <w:rFonts w:hint="eastAsia" w:ascii="宋体" w:hAnsi="宋体" w:eastAsia="宋体" w:cs="宋体"/>
                <w:b/>
                <w:color w:val="000000" w:themeColor="text1"/>
                <w:sz w:val="21"/>
                <w:szCs w:val="21"/>
                <w:lang w:bidi="ar"/>
                <w14:textFill>
                  <w14:solidFill>
                    <w14:schemeClr w14:val="tx1"/>
                  </w14:solidFill>
                </w14:textFill>
              </w:rPr>
              <w:t>（51.64%）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lang w:bidi="ar"/>
                <w14:textFill>
                  <w14:solidFill>
                    <w14:schemeClr w14:val="tx1"/>
                  </w14:solidFill>
                </w14:textFill>
              </w:rPr>
              <w:t>占比</w:t>
            </w:r>
          </w:p>
        </w:tc>
      </w:tr>
      <w:tr>
        <w:tblPrEx>
          <w:tblCellMar>
            <w:top w:w="0" w:type="dxa"/>
            <w:left w:w="108" w:type="dxa"/>
            <w:bottom w:w="0" w:type="dxa"/>
            <w:right w:w="108" w:type="dxa"/>
          </w:tblCellMar>
        </w:tblPrEx>
        <w:trPr>
          <w:trHeight w:val="400" w:hRule="atLeast"/>
        </w:trPr>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职称</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正高级</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6.29%</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7.56%</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13.17%</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副高级</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23.77%</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99</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24.94%</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42.44%</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中级</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37.52%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38.04%</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44.39%</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初级</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116</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22.79%</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19.40%</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未定级</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49</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9.63%</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10.08%</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r>
      <w:tr>
        <w:tblPrEx>
          <w:tblCellMar>
            <w:top w:w="0" w:type="dxa"/>
            <w:left w:w="108" w:type="dxa"/>
            <w:bottom w:w="0" w:type="dxa"/>
            <w:right w:w="108" w:type="dxa"/>
          </w:tblCellMar>
        </w:tblPrEx>
        <w:trPr>
          <w:trHeight w:val="400" w:hRule="atLeast"/>
        </w:trPr>
        <w:tc>
          <w:tcPr>
            <w:tcW w:w="5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学位</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博士</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4.13%</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5.29%</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7.32%</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硕士</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234</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45.97%</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168</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42.32%</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82</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40.00%</w:t>
            </w:r>
          </w:p>
        </w:tc>
      </w:tr>
      <w:tr>
        <w:tblPrEx>
          <w:tblCellMar>
            <w:top w:w="0" w:type="dxa"/>
            <w:left w:w="108" w:type="dxa"/>
            <w:bottom w:w="0" w:type="dxa"/>
            <w:right w:w="108" w:type="dxa"/>
          </w:tblCellMar>
        </w:tblPrEx>
        <w:trPr>
          <w:trHeight w:val="400" w:hRule="atLeast"/>
        </w:trPr>
        <w:tc>
          <w:tcPr>
            <w:tcW w:w="5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color w:val="000000"/>
                <w:sz w:val="21"/>
                <w:szCs w:val="21"/>
              </w:rPr>
            </w:pP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学士</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200</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39.29%</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161</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40.55%</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87</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42.44%</w:t>
            </w:r>
          </w:p>
        </w:tc>
      </w:tr>
    </w:tbl>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cstheme="minorEastAsia"/>
          <w:bCs/>
          <w:color w:val="000000" w:themeColor="text1"/>
          <w:szCs w:val="21"/>
          <w14:textFill>
            <w14:solidFill>
              <w14:schemeClr w14:val="tx1"/>
            </w14:solidFill>
          </w14:textFill>
        </w:rPr>
      </w:pPr>
      <w:r>
        <w:rPr>
          <w:rFonts w:hint="eastAsia" w:ascii="宋体" w:hAnsi="宋体" w:eastAsia="宋体" w:cs="宋体"/>
          <w:sz w:val="24"/>
        </w:rPr>
        <w:t>学校结合各专业的发展及建设规划统筹建设相应的教学场所，包括专业实验室、专业机房、专业教室、画室、制图室等。同时还有公共机房、艺术工坊、众创空间、国际语言中心、智慧教室、马克思主义学院基地等场所进行通识课程及素养方面的教育教学。</w:t>
      </w:r>
    </w:p>
    <w:p>
      <w:pPr>
        <w:widowControl/>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表7：本科专业2021-2022学年专业条件情况</w:t>
      </w:r>
    </w:p>
    <w:tbl>
      <w:tblPr>
        <w:tblStyle w:val="20"/>
        <w:tblW w:w="4998" w:type="pct"/>
        <w:jc w:val="center"/>
        <w:tblLayout w:type="autofit"/>
        <w:tblCellMar>
          <w:top w:w="0" w:type="dxa"/>
          <w:left w:w="108" w:type="dxa"/>
          <w:bottom w:w="0" w:type="dxa"/>
          <w:right w:w="108" w:type="dxa"/>
        </w:tblCellMar>
      </w:tblPr>
      <w:tblGrid>
        <w:gridCol w:w="3392"/>
        <w:gridCol w:w="2393"/>
        <w:gridCol w:w="2734"/>
      </w:tblGrid>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专业名称</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专业实验室间数</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校外实习实践基地</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汽车服务工程技术</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11</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机械设计制造及自动化</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22</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计算机应用工程</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软件工程技术</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油气储运工程</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10</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建筑工程</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大数据与财务管理</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大数据与会计</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电子商务</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酒店管理</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学前教育</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18</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24</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休闲体育</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9</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数字媒体艺术</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8</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服装与服饰设计</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11</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工艺美术</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4</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工程造价</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5</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14</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信息安全与管理</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12</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3</w:t>
            </w:r>
          </w:p>
        </w:tc>
      </w:tr>
      <w:tr>
        <w:tblPrEx>
          <w:tblCellMar>
            <w:top w:w="0" w:type="dxa"/>
            <w:left w:w="108" w:type="dxa"/>
            <w:bottom w:w="0" w:type="dxa"/>
            <w:right w:w="108" w:type="dxa"/>
          </w:tblCellMar>
        </w:tblPrEx>
        <w:trPr>
          <w:trHeight w:val="270" w:hRule="atLeast"/>
          <w:jc w:val="center"/>
        </w:trPr>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应用化工技术</w:t>
            </w:r>
          </w:p>
        </w:tc>
        <w:tc>
          <w:tcPr>
            <w:tcW w:w="1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1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16</w:t>
            </w:r>
          </w:p>
        </w:tc>
      </w:tr>
    </w:tbl>
    <w:p>
      <w:pPr>
        <w:spacing w:line="240" w:lineRule="auto"/>
        <w:jc w:val="left"/>
        <w:outlineLvl w:val="1"/>
        <w:rPr>
          <w:rStyle w:val="24"/>
          <w:rFonts w:ascii="黑体" w:hAnsi="黑体" w:eastAsia="黑体" w:cs="黑体"/>
          <w:sz w:val="28"/>
          <w:szCs w:val="28"/>
        </w:rPr>
      </w:pPr>
      <w:bookmarkStart w:id="140" w:name="_Toc8795"/>
      <w:bookmarkStart w:id="141" w:name="_Toc32620"/>
      <w:bookmarkStart w:id="142" w:name="_Toc4111"/>
      <w:bookmarkStart w:id="143" w:name="_Toc6178"/>
      <w:bookmarkStart w:id="144" w:name="_Toc3084"/>
      <w:r>
        <w:rPr>
          <w:rStyle w:val="24"/>
          <w:rFonts w:hint="eastAsia" w:ascii="黑体" w:hAnsi="黑体" w:eastAsia="黑体" w:cs="黑体"/>
          <w:sz w:val="28"/>
          <w:szCs w:val="28"/>
        </w:rPr>
        <w:t>（三）落实立德树人机制</w:t>
      </w:r>
      <w:bookmarkEnd w:id="140"/>
      <w:bookmarkEnd w:id="141"/>
      <w:bookmarkEnd w:id="142"/>
      <w:bookmarkEnd w:id="143"/>
      <w:bookmarkEnd w:id="144"/>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落实立德树人根本任务，以人才培养为中心，深化思政课程建设，注重传统文化课程和书院特色课程建设，加强课程思政体系建设，推进思政元素和职业精神教育充分融入专业课程，形成了全员、全过程、全方位育人的良好氛围。发布《泉州职业技术大学2022级本科层次职业教育专业人才培养方案指导意见》，全面推动习近平新时代中国特色社会主义思想进教材进课堂进头脑，积极培育和践行社会主义核心价值观。传授基础知识与培养专业能力并重，强化学生职业素养养成和专业技术积累，将思想政治教育、劳动教育、创新创业教育，专业精神、职业精神和工匠精神融入人才培养全过程。《注重启发性教学把思政课上活起来》获得福建省高校“三个百堂高校思政精品课立项”二等奖、福建省民办高校课程建设高端论坛一等奖。</w:t>
      </w:r>
    </w:p>
    <w:p>
      <w:pPr>
        <w:spacing w:line="240" w:lineRule="auto"/>
        <w:jc w:val="left"/>
        <w:outlineLvl w:val="1"/>
        <w:rPr>
          <w:rStyle w:val="24"/>
          <w:rFonts w:ascii="黑体" w:hAnsi="黑体" w:eastAsia="黑体" w:cs="黑体"/>
          <w:sz w:val="28"/>
          <w:szCs w:val="28"/>
        </w:rPr>
      </w:pPr>
      <w:bookmarkStart w:id="145" w:name="_Toc20778"/>
      <w:bookmarkStart w:id="146" w:name="_Toc7272"/>
      <w:bookmarkStart w:id="147" w:name="_Toc13224"/>
      <w:bookmarkStart w:id="148" w:name="_Toc26502"/>
      <w:bookmarkStart w:id="149" w:name="_Toc23445"/>
      <w:r>
        <w:rPr>
          <w:rStyle w:val="24"/>
          <w:rFonts w:hint="eastAsia" w:ascii="黑体" w:hAnsi="黑体" w:eastAsia="黑体" w:cs="黑体"/>
          <w:sz w:val="28"/>
          <w:szCs w:val="28"/>
        </w:rPr>
        <w:t>（四）教学管理与学风建设</w:t>
      </w:r>
      <w:bookmarkEnd w:id="145"/>
      <w:bookmarkEnd w:id="146"/>
      <w:bookmarkEnd w:id="147"/>
      <w:bookmarkEnd w:id="148"/>
      <w:bookmarkEnd w:id="149"/>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50" w:name="_Toc7975"/>
      <w:bookmarkStart w:id="151" w:name="_Toc5195"/>
      <w:bookmarkStart w:id="152" w:name="_Toc13252"/>
      <w:r>
        <w:rPr>
          <w:rFonts w:hint="eastAsia" w:ascii="宋体" w:hAnsi="宋体" w:eastAsia="宋体" w:cs="宋体"/>
          <w:sz w:val="24"/>
        </w:rPr>
        <w:t>1.教学管理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教学管理机制运行顺畅。学校严格执行教学管理规章制度，落实人才培养质量标准，顺畅教学管理体制机制。加强教学日常管理，落实新教师培训制度、试讲制度，规范课程教学大纲、教案编写要求，修订课堂管理规定，严格课堂手机管理，严把上课质量关。加强教学质量管理，制定人才培养方案制（修）订指导意见，提高人才培养顶层设计的质量；制定本科生毕业设计（论文）管理办法、学生实习管理办法，规范学生实践教学管理；制定教学事故管理办法，对违反教学规定、影响人才培养质量的行为进行严肃处理，确保人才培养质量。加强教学评价管理，适应职业本科教育试点改革要求，认真开展教学质量评价，逐步开展专业、课程、教材等专项评价，促进教学质量改进提高。</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lang w:eastAsia="zh-CN"/>
        </w:rPr>
      </w:pPr>
      <w:r>
        <w:rPr>
          <w:rFonts w:hint="eastAsia" w:ascii="宋体" w:hAnsi="宋体" w:eastAsia="宋体" w:cs="宋体"/>
          <w:sz w:val="24"/>
        </w:rPr>
        <w:t>教学质量标准执行严格。严格执行主要教学环节质量标准，确保教学秩序稳定、有序。根据学校《本科专业人才培养方案管理办法》《教学大纲管理规定》《教学日常管理细则》《关于规范教学检查制度的若干规定》《关于提高线上教学质量的若干意见（试行）》《教师教学质量考核办法》等文件，规范教师和学生在教学工作中的行为，保证教学工作有序进行。加强考试管理，重视考试改革，出台《课程考核工作规范》《命题及考试细则》，建立题库，加强考场管理，严肃考试和巡考纪律，把好命题关和考试关。加强实践教学管理，制定了《实践教学管理办法》《实验（训）教学工作实施细则》《本科毕业设计（论文）管理办法（试行）》《学生实习管理办法（试行）》等，运用毕业设计（论文）管理和查重检测系统，对毕业设计（论文）的全过程进行规范和质量管理</w:t>
      </w:r>
      <w:r>
        <w:rPr>
          <w:rFonts w:hint="eastAsia" w:ascii="宋体" w:hAnsi="宋体" w:eastAsia="宋体" w:cs="宋体"/>
          <w:sz w:val="24"/>
          <w:lang w:eastAsia="zh-CN"/>
        </w:rPr>
        <w:t>。</w:t>
      </w:r>
    </w:p>
    <w:p>
      <w:pPr>
        <w:widowControl/>
        <w:spacing w:line="400" w:lineRule="exact"/>
        <w:ind w:firstLine="482" w:firstLineChars="200"/>
        <w:jc w:val="left"/>
        <w:rPr>
          <w:rFonts w:ascii="宋体" w:hAnsi="宋体" w:eastAsia="宋体" w:cs="宋体"/>
          <w:b/>
          <w:bCs/>
          <w:sz w:val="24"/>
        </w:rPr>
      </w:pPr>
      <w:r>
        <w:rPr>
          <w:rFonts w:hint="eastAsia" w:ascii="宋体" w:hAnsi="宋体" w:eastAsia="宋体" w:cs="宋体"/>
          <w:b/>
          <w:bCs/>
          <w:sz w:val="24"/>
        </w:rPr>
        <w:t>2.学风建设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完善学风抓建机制。遵循职业本科建设发展要求，制定《泉州职业技术大学学风建设管理办法》，成立学校学风建设领导小组，由分管教学、学生工作副校长担任双组长，专题部署学校学风建设工作，制定学风建设年度工作计划，指导学院书院协同抓建学风工作。教务处作为学风建设牵头职能部门，开展学风督导、学风测评等专项工作，将学风建设情况作为教学工作例会评讲重要内容。根据《学业预警管理工作细则（试行）》，进行学风建设宣讲教育，定期进行学业预警，包括课程预警、毕业预警等。职能部门、学院、书院多方共推学生“全链条生涯教育”项目，帮助学生科学制定职业规划，明确学习目标，促进优良学风建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营造良好学习氛围。定期组织教师评学、学生评教活动，促进教学相长。加强教学过程管理，落实教师辅导答疑、作业布置与批改等工作。充分发挥学生教学信息员作用，在学生中选取思想道德品质优秀、热爱学习、责任心强、品学兼优的学生作为教学信息员，及时反馈课程学习的情况，做好学生和老师沟通的桥梁。开设校长信箱、学生诉求与建议网络平台，充分了解学生诉求，及时解决学生反映的各种问题，引导学生奋发学习、主动成才。</w:t>
      </w:r>
    </w:p>
    <w:p>
      <w:pPr>
        <w:pStyle w:val="3"/>
        <w:spacing w:line="240" w:lineRule="auto"/>
        <w:jc w:val="left"/>
        <w:rPr>
          <w:sz w:val="30"/>
          <w:szCs w:val="30"/>
        </w:rPr>
      </w:pPr>
      <w:bookmarkStart w:id="153" w:name="_Toc18178"/>
      <w:bookmarkStart w:id="154" w:name="_Toc9970"/>
      <w:bookmarkStart w:id="155" w:name="_Toc20596"/>
      <w:bookmarkStart w:id="156" w:name="_Toc23530"/>
      <w:r>
        <w:rPr>
          <w:rFonts w:hint="eastAsia"/>
          <w:sz w:val="30"/>
          <w:szCs w:val="30"/>
        </w:rPr>
        <w:t>五、质量保障体系</w:t>
      </w:r>
      <w:bookmarkEnd w:id="150"/>
      <w:bookmarkEnd w:id="151"/>
      <w:bookmarkEnd w:id="152"/>
      <w:bookmarkEnd w:id="153"/>
      <w:bookmarkEnd w:id="154"/>
      <w:bookmarkEnd w:id="155"/>
      <w:bookmarkEnd w:id="156"/>
    </w:p>
    <w:p>
      <w:pPr>
        <w:spacing w:line="240" w:lineRule="auto"/>
        <w:jc w:val="left"/>
        <w:outlineLvl w:val="1"/>
        <w:rPr>
          <w:rStyle w:val="24"/>
          <w:rFonts w:ascii="黑体" w:hAnsi="黑体" w:eastAsia="黑体" w:cs="黑体"/>
          <w:sz w:val="28"/>
          <w:szCs w:val="28"/>
        </w:rPr>
      </w:pPr>
      <w:bookmarkStart w:id="157" w:name="_Toc20973"/>
      <w:bookmarkStart w:id="158" w:name="_Toc9554"/>
      <w:bookmarkStart w:id="159" w:name="_Toc20455"/>
      <w:bookmarkStart w:id="160" w:name="_Toc25019"/>
      <w:bookmarkStart w:id="161" w:name="_Toc12424"/>
      <w:r>
        <w:rPr>
          <w:rStyle w:val="24"/>
          <w:rFonts w:hint="eastAsia" w:ascii="黑体" w:hAnsi="黑体" w:eastAsia="黑体" w:cs="黑体"/>
          <w:sz w:val="28"/>
          <w:szCs w:val="28"/>
        </w:rPr>
        <w:t>（一）学校人才培养中心地位落实情况</w:t>
      </w:r>
      <w:bookmarkEnd w:id="157"/>
      <w:bookmarkEnd w:id="158"/>
      <w:bookmarkEnd w:id="159"/>
      <w:bookmarkEnd w:id="160"/>
      <w:bookmarkEnd w:id="161"/>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62" w:name="_Toc4422"/>
      <w:r>
        <w:rPr>
          <w:rFonts w:hint="eastAsia" w:ascii="宋体" w:hAnsi="宋体" w:eastAsia="宋体" w:cs="宋体"/>
          <w:sz w:val="24"/>
        </w:rPr>
        <w:t>2022年2月16日，学校党政联席会研究成立本科学位评估领导小组和评建办，重点讨论了人才引进、设备投入、图书采购等重要事项；2022年6月6日，学校党政联席会研究布置了年度教学领域十大重点工作；2022年10月21日，党政联席会研究讨论开展学位评估复盘整改工作，找准问题点，明确牵头整改单位，制定整改措施和完成时限。以“分类建设、逐级递进”为建设思路，结合职业本科课程开发培训，启动学校首批22门优质课程立项建设工作。推进教师教学质量评价工作，制定并发布教师教学质量评价管理办法，以评促改、以评促建、以评促管。推进党的二十大精神“三进工作”，对标国家标准推进职业本科全面达标，对标试点标准打造职业本科优势特色，对标评估标准狠抓职业本科教学质量。</w:t>
      </w:r>
    </w:p>
    <w:p>
      <w:pPr>
        <w:spacing w:line="240" w:lineRule="auto"/>
        <w:jc w:val="left"/>
        <w:outlineLvl w:val="1"/>
        <w:rPr>
          <w:rStyle w:val="24"/>
          <w:rFonts w:ascii="黑体" w:hAnsi="黑体" w:eastAsia="黑体" w:cs="黑体"/>
          <w:sz w:val="28"/>
          <w:szCs w:val="28"/>
        </w:rPr>
      </w:pPr>
      <w:bookmarkStart w:id="163" w:name="_Toc10888"/>
      <w:bookmarkStart w:id="164" w:name="_Toc18744"/>
      <w:bookmarkStart w:id="165" w:name="_Toc15248"/>
      <w:bookmarkStart w:id="166" w:name="_Toc18684"/>
      <w:r>
        <w:rPr>
          <w:rStyle w:val="24"/>
          <w:rFonts w:hint="eastAsia" w:ascii="黑体" w:hAnsi="黑体" w:eastAsia="黑体" w:cs="黑体"/>
          <w:sz w:val="28"/>
          <w:szCs w:val="28"/>
        </w:rPr>
        <w:t>（二）校领导班子研究本科教学工作情况，出台的相关政策措施</w:t>
      </w:r>
      <w:bookmarkEnd w:id="162"/>
      <w:bookmarkEnd w:id="163"/>
      <w:bookmarkEnd w:id="164"/>
      <w:bookmarkEnd w:id="165"/>
      <w:bookmarkEnd w:id="166"/>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学校领导班子重视本科教学工作，每位校领导挂钩一个学院，深入教学一线调查研究，及时解决本科教学中的问题。为保障教学工作平稳运行，提升教师教学能力，学校多位</w:t>
      </w:r>
      <w:r>
        <w:rPr>
          <w:rFonts w:hint="eastAsia" w:ascii="宋体" w:hAnsi="宋体" w:eastAsia="宋体" w:cs="宋体"/>
          <w:sz w:val="24"/>
          <w:lang w:eastAsia="zh-CN"/>
        </w:rPr>
        <w:t>领导</w:t>
      </w:r>
      <w:r>
        <w:rPr>
          <w:rFonts w:hint="eastAsia" w:ascii="宋体" w:hAnsi="宋体" w:eastAsia="宋体" w:cs="宋体"/>
          <w:sz w:val="24"/>
        </w:rPr>
        <w:t>站上一线讲台，直面学生课堂，与教师共同研究课堂教学；教务处在期初、期中分别组织校领导、中层干部走进课堂听评课，并针对思想政治课、教学改革课程等进行重点听评课。2022年学校党政领导研究本科教学相关工作，组织制定了《泉州职业技术大学课堂教学管理规定（试行）》《泉州职业技术大学学风建设管理办法》《泉州职业技术大学迎接学士学位授权评估工作实施方案》《泉州职业技术大学本科毕业生学士学位授予管理办法》《泉州职业技术大学学位评定委员会章程》《关于成立泉州职业技术大学学位评定委员会的决定》《关于成立质量评估处及李怀伦任职的通知 》《关于调整学位评估迎评工作领导小组的通知》《泉州职业技术大学教师教学质量评价管理办法（试行）》等文件。</w:t>
      </w:r>
    </w:p>
    <w:p>
      <w:pPr>
        <w:spacing w:line="240" w:lineRule="auto"/>
        <w:jc w:val="left"/>
        <w:outlineLvl w:val="1"/>
        <w:rPr>
          <w:rStyle w:val="24"/>
          <w:rFonts w:ascii="黑体" w:hAnsi="黑体" w:eastAsia="黑体" w:cs="黑体"/>
          <w:sz w:val="28"/>
          <w:szCs w:val="28"/>
        </w:rPr>
      </w:pPr>
      <w:bookmarkStart w:id="167" w:name="_Toc30670"/>
      <w:bookmarkStart w:id="168" w:name="_Toc9599"/>
      <w:bookmarkStart w:id="169" w:name="_Toc20926"/>
      <w:bookmarkStart w:id="170" w:name="_Toc835"/>
      <w:bookmarkStart w:id="171" w:name="_Toc19604"/>
      <w:r>
        <w:rPr>
          <w:rStyle w:val="24"/>
          <w:rFonts w:hint="eastAsia" w:ascii="黑体" w:hAnsi="黑体" w:eastAsia="黑体" w:cs="黑体"/>
          <w:sz w:val="28"/>
          <w:szCs w:val="28"/>
        </w:rPr>
        <w:t>（三）教学质量评估与监控</w:t>
      </w:r>
      <w:bookmarkEnd w:id="167"/>
      <w:bookmarkEnd w:id="168"/>
      <w:bookmarkEnd w:id="169"/>
      <w:bookmarkEnd w:id="170"/>
      <w:bookmarkEnd w:id="171"/>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作为福建省唯一的职业本科试点学校，为保证教学质量，积极从教学质量管理制度、教学质量标准、教学质量监控方法手段、信息收集与反馈、督促改进与提高等方面进行探索，以构建具有职业本科特色的质量保证体系。</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教学工作是学校的中心工作，教学质量是学校的生命线，学校坚持质量立校，在党政领导下，建立了由分管校领导为组长，学校主导，学院为主体，学生为中心的教学质量监控、反馈、改进机制，通过发现、控制、改进影响教学质量的主要因素，切实提高各个教学环节及过程质量，稳固人才培养质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校院两级教学管理团队，在制度文件和程序文件的规范下，严格执行、规范教学环节，认真落实教学质量标准，有序开展教学工作。教学过程有记录、有检查、有存档，做到有依可循、有档可查，以细节保质量。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1.加强教学质量管理运行机制建设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为适应职业本科建设发展需要，学校专门成立了质量评估处，负责全校专业建设、课程建设、教学管理、教学运行和教学改革等质量监控工作，负责教学领域专项评估和年度自评工作及学校教学督导队伍建设与管理工作。学校制定了制订《教学督导工作条例》，组建了校级专兼职督导队伍。严格落实《本科专业人才培养方案管理办法》《教学大纲管理规定》《教学日常管理细则》《关于规范教学检查制度的若干规定》《关于提高线上教学质量的若干意见（试行）》《教师教学质量考核办法》等文件，以课堂教学为抓手，规范教师和学生在教学工作中的行为，保证教学工作有序进行。</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2.加强教学制度体系建设</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抓住2022年上半年接受福建省教育厅组织的学士学位授予单位审核、学士学位专业授予权审核评估契机，按照《本科层次职业学校设置标准（试行）》《本科层次职业教育专业设置管理办法（试行）》和“高标准、高起点、高质量”的要求，制定《本科毕业生学士学位授予管理办法》《学位评定委员会章程》《本科生毕业设计（论文）管理办法》，修订、完善教学组织管理、教学建设管理、教学运行管理、学籍管理、教学质量管理、实践教学、师资队伍等方面制度66项，为教学质量监控有效运行提供了依据。</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3.加强教学质量常态化监控</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学校建立系统完整、运行有效的教学质量监控体系，有效保障了人才培养质量，形成了学校、学院、学生纵向贯通，质量评估处、教务处、学生工作处横向协同的教学质量监控网络。学校领导深入教学第一线，不仅走上讲台授课、参加联系单位的教学活动，而且积极参与听课、评课活动，及时研究解决教学工作中出现的新情况、新问题。学校通过现代网络录像监控、进教室听课、组织师生座谈会、开展学生评教、教师评学、收集学生学风督导信息等活动对日常教学环节进行常规检查；学校在定期开展学期初、学期中和期末教学检查工作的基础上，开展期末试卷、毕业设计（论文）等专项检查工作。日常教学质量监控步入制度化、常态化轨道。</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4.加大教学监控信息反馈和改进力度</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一学校教学督导听课结束，要对授课教师课堂教学进行评价并交流，肯定其成绩，指出不足，重点关注“新人、新开、新教”的课程及教学能力相对较弱的教师，强化听课评课指导，帮助其剖析教学问题，提出改进意见，提高教学能力，提升教学质量。学校开展课程考核、毕业设计（论文）等专项检查活动，对出现的问题，除当场反馈外，专门召开会议，集体讲评，布置整改并进行复查，督促改进提高。学校定期组织学生评教与教师评学、教师座谈会、第三方评价等活动中收集到信息，及时反馈到相关单位，落实整改。学校利用超星教学质量监控评价系统与学习通等平台，对教学运行、教学督导数据进行挖掘分析，及时反馈，提高教学质量管理的及时性、有效性。五是按时填报人才培养工作状态数据库，高等教育质量监测数据平台，撰写年度教学质量报告，总结经验、查找问题和不足，及时改进提高，并上网公示，接受社会监督。</w:t>
      </w:r>
    </w:p>
    <w:p>
      <w:pPr>
        <w:widowControl/>
        <w:spacing w:line="240" w:lineRule="auto"/>
        <w:jc w:val="left"/>
        <w:outlineLvl w:val="1"/>
        <w:rPr>
          <w:rStyle w:val="24"/>
          <w:rFonts w:ascii="黑体" w:hAnsi="黑体" w:eastAsia="黑体" w:cs="黑体"/>
          <w:sz w:val="28"/>
          <w:szCs w:val="28"/>
        </w:rPr>
      </w:pPr>
      <w:bookmarkStart w:id="172" w:name="_Toc21813"/>
      <w:bookmarkStart w:id="173" w:name="_Toc21184"/>
      <w:bookmarkStart w:id="174" w:name="_Toc26172"/>
      <w:bookmarkStart w:id="175" w:name="_Toc29186"/>
      <w:bookmarkStart w:id="176" w:name="_Toc22732"/>
      <w:r>
        <w:rPr>
          <w:rStyle w:val="24"/>
          <w:rFonts w:hint="eastAsia" w:ascii="黑体" w:hAnsi="黑体" w:eastAsia="黑体" w:cs="黑体"/>
          <w:sz w:val="28"/>
          <w:szCs w:val="28"/>
        </w:rPr>
        <w:t>（四）开展专业评估、专业认证、国际评估情况</w:t>
      </w:r>
      <w:bookmarkEnd w:id="172"/>
      <w:bookmarkEnd w:id="173"/>
      <w:bookmarkEnd w:id="174"/>
      <w:bookmarkEnd w:id="175"/>
      <w:bookmarkEnd w:id="176"/>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77" w:name="_Toc30379"/>
      <w:bookmarkStart w:id="178" w:name="_Toc26228"/>
      <w:r>
        <w:rPr>
          <w:rFonts w:hint="eastAsia" w:ascii="宋体" w:hAnsi="宋体" w:eastAsia="宋体" w:cs="宋体"/>
          <w:sz w:val="24"/>
        </w:rPr>
        <w:t>2021-2022学年学校圆满完成学士学位授予单位和学士学位授权专业评估工作。2022年3月，学校为迎接福建省学士学位授予单位审核和学士学位专业授予权审核，专门成立了评建办公室。为做好这项事关学校发展的重要工作，评建办公室以《本科层次职业学校设置标准（试行）》《本科层次职业教育专业设置管理办法（试行）》为依据，按照《福建省学士学位授权与授予审核管理办法》要求，认真研究、分析《福建省学士学位授予单位审核标准》《福建省学士学位授权专业审核标准》每个指标的内涵，明确各部门各阶段工作任务，按时间节点</w:t>
      </w:r>
      <w:r>
        <w:rPr>
          <w:rFonts w:hint="eastAsia" w:ascii="宋体" w:hAnsi="宋体" w:eastAsia="宋体" w:cs="宋体"/>
          <w:sz w:val="24"/>
          <w:lang w:eastAsia="zh-CN"/>
        </w:rPr>
        <w:t>有计划地组织</w:t>
      </w:r>
      <w:r>
        <w:rPr>
          <w:rFonts w:hint="eastAsia" w:ascii="宋体" w:hAnsi="宋体" w:eastAsia="宋体" w:cs="宋体"/>
          <w:sz w:val="24"/>
        </w:rPr>
        <w:t>检查、指导，开展专业带头人说专业及模拟评估，确保了学校新增为学士学位授予单位，油气储运工程、建筑工程（原土木工程）、机械设计制造及自动化（原机械设计制造及其自动化）、汽车服务工程技术（原汽车服务工程）、计算机应用工程、大数据与财务管理（原财务管理）、电子商务、数字媒体艺术、服装与服饰设计、学前教育等10个本科专业为学士学位授权专业。</w:t>
      </w:r>
    </w:p>
    <w:p>
      <w:pPr>
        <w:pStyle w:val="3"/>
        <w:spacing w:line="240" w:lineRule="auto"/>
        <w:jc w:val="left"/>
        <w:rPr>
          <w:sz w:val="30"/>
          <w:szCs w:val="30"/>
        </w:rPr>
      </w:pPr>
      <w:bookmarkStart w:id="179" w:name="_Toc17391"/>
      <w:bookmarkStart w:id="180" w:name="_Toc8515"/>
      <w:bookmarkStart w:id="181" w:name="_Toc11142"/>
      <w:bookmarkStart w:id="182" w:name="_Toc29397"/>
      <w:r>
        <w:rPr>
          <w:rFonts w:hint="eastAsia"/>
          <w:sz w:val="30"/>
          <w:szCs w:val="30"/>
        </w:rPr>
        <w:t>六、学生学习成效</w:t>
      </w:r>
      <w:bookmarkEnd w:id="177"/>
      <w:bookmarkEnd w:id="178"/>
      <w:bookmarkEnd w:id="179"/>
      <w:bookmarkEnd w:id="180"/>
      <w:bookmarkEnd w:id="181"/>
      <w:bookmarkEnd w:id="182"/>
    </w:p>
    <w:p>
      <w:pPr>
        <w:spacing w:line="240" w:lineRule="auto"/>
        <w:jc w:val="left"/>
        <w:outlineLvl w:val="1"/>
        <w:rPr>
          <w:rStyle w:val="24"/>
          <w:rFonts w:ascii="黑体" w:hAnsi="黑体" w:eastAsia="黑体" w:cs="黑体"/>
          <w:sz w:val="28"/>
          <w:szCs w:val="28"/>
        </w:rPr>
      </w:pPr>
      <w:bookmarkStart w:id="183" w:name="_Toc2963"/>
      <w:bookmarkStart w:id="184" w:name="_Toc24168"/>
      <w:bookmarkStart w:id="185" w:name="_Toc30084"/>
      <w:bookmarkStart w:id="186" w:name="_Toc27319"/>
      <w:bookmarkStart w:id="187" w:name="_Toc25760"/>
      <w:r>
        <w:rPr>
          <w:rStyle w:val="24"/>
          <w:rFonts w:hint="eastAsia" w:ascii="黑体" w:hAnsi="黑体" w:eastAsia="黑体" w:cs="黑体"/>
          <w:sz w:val="28"/>
          <w:szCs w:val="28"/>
        </w:rPr>
        <w:t>（一）学生学习满意度</w:t>
      </w:r>
      <w:bookmarkEnd w:id="183"/>
      <w:bookmarkEnd w:id="184"/>
      <w:bookmarkEnd w:id="185"/>
      <w:bookmarkEnd w:id="186"/>
      <w:bookmarkEnd w:id="18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根据2021-2022学年全校各年级学生对所选课程评价统计，全校学生评教平均分为96.01分，分数集中在90</w:t>
      </w:r>
      <w:r>
        <w:rPr>
          <w:rFonts w:hint="eastAsia" w:ascii="宋体" w:hAnsi="宋体" w:eastAsia="宋体" w:cs="宋体"/>
          <w:sz w:val="24"/>
          <w:lang w:eastAsia="zh-CN"/>
        </w:rPr>
        <w:t>—</w:t>
      </w:r>
      <w:r>
        <w:rPr>
          <w:rFonts w:hint="eastAsia" w:ascii="宋体" w:hAnsi="宋体" w:eastAsia="宋体" w:cs="宋体"/>
          <w:sz w:val="24"/>
        </w:rPr>
        <w:t>100分，占比97.81%，学生学习满意度较高。</w:t>
      </w:r>
    </w:p>
    <w:p>
      <w:pPr>
        <w:spacing w:line="240" w:lineRule="auto"/>
        <w:jc w:val="left"/>
        <w:outlineLvl w:val="1"/>
        <w:rPr>
          <w:rStyle w:val="24"/>
          <w:rFonts w:ascii="黑体" w:hAnsi="黑体" w:eastAsia="黑体" w:cs="黑体"/>
          <w:sz w:val="28"/>
          <w:szCs w:val="28"/>
        </w:rPr>
      </w:pPr>
      <w:bookmarkStart w:id="188" w:name="_Toc24577"/>
      <w:bookmarkStart w:id="189" w:name="_Toc8183"/>
      <w:bookmarkStart w:id="190" w:name="_Toc10037"/>
      <w:bookmarkStart w:id="191" w:name="_Toc11343"/>
      <w:bookmarkStart w:id="192" w:name="_Toc32721"/>
      <w:r>
        <w:rPr>
          <w:rStyle w:val="24"/>
          <w:rFonts w:hint="eastAsia" w:ascii="黑体" w:hAnsi="黑体" w:eastAsia="黑体" w:cs="黑体"/>
          <w:sz w:val="28"/>
          <w:szCs w:val="28"/>
        </w:rPr>
        <w:t>（二）学生获奖情况</w:t>
      </w:r>
      <w:bookmarkEnd w:id="188"/>
      <w:bookmarkEnd w:id="189"/>
      <w:bookmarkEnd w:id="190"/>
      <w:bookmarkEnd w:id="191"/>
      <w:bookmarkEnd w:id="192"/>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2021-2022学年，学校高度重视学生竞赛工作，以赛促教、以赛促学、以赛促改，将学生竞赛作为学校人才培养的重要途径，不断完善竞赛管理及奖励办法，依托校内外实训基地平台，全方位保障、合力推动竞赛工作开展，在全校营造了浓厚的竞赛氛围。学生在各级各类学科技能竞赛和综合性赛事中大放异彩，佳绩频传，共获得省级以上奖项264项，在高教社杯2021全国大学生数学建模竞赛（福建赛区）中获得一等奖1项，二等奖4项；在第十一届海峡两岸信息服务创新大赛暨福建省第十五届计算机软件设计大赛“数字工程咨询（BIM技术）应用·晨曦科技”专题组（本科组）获得一等奖1项；在第十届全国大学生机械创新设计大赛中获得省赛一等奖1项，二等奖3项，国赛二等奖1项；在2022 年第十一届“锐智杯”福建省大学生智能设计大赛中获得一等奖1项，突破历史最好成绩。</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以竞赛之舟促学生远航，在参赛过程中，涌现了一批专业扎实，成绩突出的典型。2019级机械设计制造及其自动化专业学生李震、2019级计算机应用工程专业学生邱津芳积极参与各类竞赛，在竞赛中培养了严谨求实的学习态度和勇于探索、积极进取的科学精神，提高创新能力和对实际问题进行设计制作的能力，分别获得2021年度“中国大学生自强之星”奖学金、2021年度“中国电信奖学金•飞young奖”。</w:t>
      </w:r>
    </w:p>
    <w:p>
      <w:pPr>
        <w:spacing w:line="240" w:lineRule="auto"/>
        <w:jc w:val="left"/>
        <w:outlineLvl w:val="1"/>
        <w:rPr>
          <w:rStyle w:val="24"/>
          <w:rFonts w:ascii="黑体" w:hAnsi="黑体" w:eastAsia="黑体" w:cs="黑体"/>
          <w:sz w:val="28"/>
          <w:szCs w:val="28"/>
        </w:rPr>
      </w:pPr>
      <w:bookmarkStart w:id="193" w:name="_Toc541"/>
      <w:bookmarkStart w:id="194" w:name="_Toc20585"/>
      <w:bookmarkStart w:id="195" w:name="_Toc31272"/>
      <w:bookmarkStart w:id="196" w:name="_Toc17737"/>
      <w:bookmarkStart w:id="197" w:name="_Toc11109"/>
      <w:r>
        <w:rPr>
          <w:rStyle w:val="24"/>
          <w:rFonts w:hint="eastAsia" w:ascii="黑体" w:hAnsi="黑体" w:eastAsia="黑体" w:cs="黑体"/>
          <w:sz w:val="28"/>
          <w:szCs w:val="28"/>
        </w:rPr>
        <w:t>（三）社会评价</w:t>
      </w:r>
      <w:bookmarkEnd w:id="193"/>
      <w:bookmarkEnd w:id="194"/>
      <w:bookmarkEnd w:id="195"/>
      <w:bookmarkEnd w:id="196"/>
      <w:bookmarkEnd w:id="197"/>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bookmarkStart w:id="198" w:name="_Toc27700"/>
      <w:r>
        <w:rPr>
          <w:rFonts w:hint="eastAsia" w:ascii="宋体" w:hAnsi="宋体" w:eastAsia="宋体" w:cs="宋体"/>
          <w:sz w:val="24"/>
        </w:rPr>
        <w:t>实践教学环节是职业院校人才培养的重要环节，是有效促进学生理论联系实际，培养学生多方面发展，将理论知识向实践能力转化的关键步骤，实践教学质量直接影响职业教育人才培养质量。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rPr>
      </w:pPr>
      <w:r>
        <w:rPr>
          <w:rFonts w:hint="eastAsia" w:ascii="宋体" w:hAnsi="宋体" w:eastAsia="宋体" w:cs="宋体"/>
          <w:sz w:val="24"/>
        </w:rPr>
        <w:t>商学院与安踏集团电商部自2016年起双方联合在校内共建专业实践课程，通过成立安踏工作室、安踏人才订单班的形式，开启学生在校的职场体验。通过每年组织的“618</w:t>
      </w:r>
      <w:r>
        <w:rPr>
          <w:rFonts w:hint="eastAsia" w:ascii="宋体" w:hAnsi="宋体" w:eastAsia="宋体" w:cs="宋体"/>
          <w:sz w:val="24"/>
          <w:lang w:eastAsia="zh-CN"/>
        </w:rPr>
        <w:t>”“</w:t>
      </w:r>
      <w:r>
        <w:rPr>
          <w:rFonts w:hint="eastAsia" w:ascii="宋体" w:hAnsi="宋体" w:eastAsia="宋体" w:cs="宋体"/>
          <w:sz w:val="24"/>
        </w:rPr>
        <w:t>双11</w:t>
      </w:r>
      <w:r>
        <w:rPr>
          <w:rFonts w:hint="eastAsia" w:ascii="宋体" w:hAnsi="宋体" w:eastAsia="宋体" w:cs="宋体"/>
          <w:sz w:val="24"/>
          <w:lang w:eastAsia="zh-CN"/>
        </w:rPr>
        <w:t>”“</w:t>
      </w:r>
      <w:r>
        <w:rPr>
          <w:rFonts w:hint="eastAsia" w:ascii="宋体" w:hAnsi="宋体" w:eastAsia="宋体" w:cs="宋体"/>
          <w:sz w:val="24"/>
        </w:rPr>
        <w:t>双12”集中实训，让学生参与真实电商大促实训，掌握互联网交际基础技能。安踏集团电商通过与学校共建安踏电商服务产业学院、安踏工作室，组织学生参加集中实训，2011年双十一累计成交额超46.5亿元，再创历史最佳业绩。</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rPr>
        <w:t>2021年12月份2021级酒店管理专业、酒店管理与数字化运营专业25名同学，承担晋江市第十八届人民代表大会第一次会议各代表团会议服务工作，以优质的服务、细心的态度及高度的责任感投入工作，圆满完成了各项服务保障工作，得到了晋江文旅集团的肯定和赞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default" w:eastAsia="宋体"/>
          <w:lang w:val="en-US" w:eastAsia="zh-CN"/>
        </w:rPr>
      </w:pPr>
      <w:r>
        <w:rPr>
          <w:rFonts w:hint="eastAsia" w:ascii="宋体" w:hAnsi="宋体" w:eastAsia="宋体" w:cs="宋体"/>
          <w:sz w:val="24"/>
          <w:lang w:val="en-US" w:eastAsia="zh-CN"/>
        </w:rPr>
        <w:t>根据2021年麦可思提供的应届毕业生培养质量报告中显示，用人单位对应届毕业生满意度近90%。</w:t>
      </w:r>
    </w:p>
    <w:p>
      <w:pPr>
        <w:pStyle w:val="3"/>
        <w:numPr>
          <w:ilvl w:val="255"/>
          <w:numId w:val="0"/>
        </w:numPr>
        <w:spacing w:line="240" w:lineRule="auto"/>
        <w:jc w:val="left"/>
        <w:rPr>
          <w:sz w:val="30"/>
          <w:szCs w:val="30"/>
        </w:rPr>
      </w:pPr>
      <w:bookmarkStart w:id="199" w:name="_Toc17872"/>
      <w:bookmarkStart w:id="200" w:name="_Toc28525"/>
      <w:bookmarkStart w:id="201" w:name="_Toc18779"/>
      <w:bookmarkStart w:id="202" w:name="_Toc29377"/>
      <w:r>
        <w:rPr>
          <w:rFonts w:hint="eastAsia"/>
          <w:sz w:val="30"/>
          <w:szCs w:val="30"/>
        </w:rPr>
        <w:t>七、特色与发展</w:t>
      </w:r>
      <w:bookmarkEnd w:id="198"/>
      <w:bookmarkEnd w:id="199"/>
      <w:bookmarkEnd w:id="200"/>
      <w:bookmarkEnd w:id="201"/>
      <w:bookmarkEnd w:id="202"/>
      <w:bookmarkStart w:id="203" w:name="_Toc2516"/>
    </w:p>
    <w:bookmarkEnd w:id="203"/>
    <w:p>
      <w:pPr>
        <w:spacing w:line="240" w:lineRule="auto"/>
        <w:outlineLvl w:val="1"/>
        <w:rPr>
          <w:rStyle w:val="24"/>
          <w:rFonts w:ascii="黑体" w:hAnsi="黑体" w:eastAsia="黑体" w:cs="黑体"/>
          <w:b w:val="0"/>
          <w:sz w:val="28"/>
          <w:szCs w:val="28"/>
        </w:rPr>
      </w:pPr>
      <w:bookmarkStart w:id="204" w:name="_Toc27322"/>
      <w:bookmarkStart w:id="205" w:name="_Toc3676"/>
      <w:bookmarkStart w:id="206" w:name="_Toc20664"/>
      <w:bookmarkStart w:id="207" w:name="_Toc31222"/>
      <w:bookmarkStart w:id="208" w:name="_Toc12229"/>
      <w:r>
        <w:rPr>
          <w:rStyle w:val="24"/>
          <w:rFonts w:hint="eastAsia" w:ascii="黑体" w:hAnsi="黑体" w:eastAsia="黑体" w:cs="黑体"/>
          <w:b w:val="0"/>
          <w:sz w:val="28"/>
          <w:szCs w:val="28"/>
        </w:rPr>
        <w:t>（</w:t>
      </w:r>
      <w:r>
        <w:rPr>
          <w:rStyle w:val="24"/>
          <w:rFonts w:hint="eastAsia" w:ascii="黑体" w:hAnsi="黑体" w:eastAsia="黑体" w:cs="黑体"/>
          <w:sz w:val="28"/>
          <w:szCs w:val="28"/>
        </w:rPr>
        <w:t>一</w:t>
      </w:r>
      <w:r>
        <w:rPr>
          <w:rStyle w:val="24"/>
          <w:rFonts w:hint="eastAsia" w:ascii="黑体" w:hAnsi="黑体" w:eastAsia="黑体" w:cs="黑体"/>
          <w:b w:val="0"/>
          <w:sz w:val="28"/>
          <w:szCs w:val="28"/>
        </w:rPr>
        <w:t>）参与国家标准制定，重构职本课程体系</w:t>
      </w:r>
      <w:bookmarkEnd w:id="204"/>
      <w:bookmarkEnd w:id="205"/>
      <w:bookmarkEnd w:id="206"/>
      <w:bookmarkEnd w:id="207"/>
      <w:bookmarkEnd w:id="208"/>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我校共4个专业参与职业本科专业国家教学标准制订，分别是服装与服饰设计专业（组长单位）、计算机应用工程（副组长单位）、软件工程（副组长单位）、电子商务（副组长单位）。在参与研制国家教学标准的过程中，各专业带头人带领本专业团队深入调研，对新专业目录背景下的课程体系重构都有新的思考，为给其他专业示范。在2021年秋季的教学工作会议上，商学院院长姚宏伟</w:t>
      </w:r>
      <w:r>
        <w:rPr>
          <w:rFonts w:hint="eastAsia" w:ascii="宋体" w:hAnsi="宋体" w:eastAsia="宋体" w:cs="宋体"/>
          <w:sz w:val="24"/>
          <w:lang w:eastAsia="zh-CN"/>
        </w:rPr>
        <w:t>作</w:t>
      </w:r>
      <w:r>
        <w:rPr>
          <w:rFonts w:hint="eastAsia" w:ascii="宋体" w:hAnsi="宋体" w:eastAsia="宋体" w:cs="宋体"/>
          <w:sz w:val="24"/>
        </w:rPr>
        <w:t>《电子商务专业课程体系》报告，艺术传媒学院梁军教授就服装专业企业调研的方法、调研情况及专业后期建设思路进行分享。</w:t>
      </w:r>
    </w:p>
    <w:p>
      <w:pPr>
        <w:widowControl/>
        <w:rPr>
          <w:rFonts w:ascii="宋体" w:hAnsi="宋体" w:eastAsia="宋体" w:cs="宋体"/>
          <w:sz w:val="24"/>
        </w:rPr>
      </w:pPr>
      <w:r>
        <w:rPr>
          <w:rFonts w:hint="eastAsia" w:ascii="宋体" w:hAnsi="宋体" w:eastAsia="宋体" w:cs="宋体"/>
          <w:sz w:val="24"/>
        </w:rPr>
        <w:drawing>
          <wp:inline distT="0" distB="0" distL="114300" distR="114300">
            <wp:extent cx="5389880" cy="2508885"/>
            <wp:effectExtent l="0" t="0" r="7620" b="5715"/>
            <wp:docPr id="25" name="图片 25" descr="1650083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0083981(1)"/>
                    <pic:cNvPicPr>
                      <a:picLocks noChangeAspect="1"/>
                    </pic:cNvPicPr>
                  </pic:nvPicPr>
                  <pic:blipFill>
                    <a:blip r:embed="rId9"/>
                    <a:stretch>
                      <a:fillRect/>
                    </a:stretch>
                  </pic:blipFill>
                  <pic:spPr>
                    <a:xfrm>
                      <a:off x="0" y="0"/>
                      <a:ext cx="5389880" cy="2508885"/>
                    </a:xfrm>
                    <a:prstGeom prst="rect">
                      <a:avLst/>
                    </a:prstGeom>
                  </pic:spPr>
                </pic:pic>
              </a:graphicData>
            </a:graphic>
          </wp:inline>
        </w:drawing>
      </w:r>
    </w:p>
    <w:p>
      <w:pPr>
        <w:widowControl/>
        <w:spacing w:line="240" w:lineRule="auto"/>
        <w:ind w:firstLine="420" w:firstLineChars="200"/>
        <w:jc w:val="center"/>
        <w:rPr>
          <w:rFonts w:hint="eastAsia" w:ascii="宋体" w:hAnsi="宋体" w:eastAsia="宋体" w:cs="宋体"/>
          <w:szCs w:val="21"/>
        </w:rPr>
      </w:pPr>
      <w:r>
        <w:rPr>
          <w:rFonts w:hint="eastAsia" w:ascii="宋体" w:hAnsi="宋体" w:eastAsia="宋体" w:cs="宋体"/>
          <w:szCs w:val="21"/>
        </w:rPr>
        <w:t>图1：产教融合搭建电商专业课程体系</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国科数字产业学院院长洪联系，受行指委邀请，担任计算机应用工程专业国家标准制定专家组副组长，负责国家标准制定前期的行业调研工作，起草撰写调研报告，根据调研结果，初步梳理计算机应用工程专业的主要工作岗位、这些岗位对应的典型工作任务</w:t>
      </w:r>
      <w:r>
        <w:rPr>
          <w:rFonts w:hint="eastAsia" w:ascii="宋体" w:hAnsi="宋体" w:eastAsia="宋体" w:cs="宋体"/>
          <w:sz w:val="24"/>
          <w:lang w:eastAsia="zh-CN"/>
        </w:rPr>
        <w:t>，以及</w:t>
      </w:r>
      <w:r>
        <w:rPr>
          <w:rFonts w:hint="eastAsia" w:ascii="宋体" w:hAnsi="宋体" w:eastAsia="宋体" w:cs="宋体"/>
          <w:sz w:val="24"/>
        </w:rPr>
        <w:t>完成这些任务的知识、技能构成，作为核心人员参与计算机应用工程专业培养目标定位、主要专业能力要求和专业课程的制定。</w:t>
      </w:r>
      <w:bookmarkStart w:id="209" w:name="1._“四心”合一规划产业学院建设，促进四链有机衔接"/>
      <w:bookmarkEnd w:id="209"/>
      <w:bookmarkStart w:id="210" w:name="_Toc7414"/>
    </w:p>
    <w:p>
      <w:pPr>
        <w:widowControl/>
        <w:spacing w:line="400" w:lineRule="exact"/>
        <w:ind w:firstLine="480" w:firstLineChars="200"/>
        <w:rPr>
          <w:rFonts w:ascii="宋体" w:hAnsi="宋体" w:eastAsia="宋体" w:cs="宋体"/>
          <w:sz w:val="24"/>
        </w:rPr>
      </w:pPr>
      <w:r>
        <w:rPr>
          <w:rFonts w:hint="eastAsia" w:ascii="宋体" w:hAnsi="宋体" w:eastAsia="宋体" w:cs="宋体"/>
          <w:sz w:val="24"/>
        </w:rPr>
        <w:t>我校服装与服饰设计专业于2021年9月至2022年9月，参与教育部职成司、纺织服装行指委，职业本科服装与服饰设计专业《简介》、教学《标准》研制任务，联合5所学校对17家服装企业、15所普通服装院校、188名服装专业本、专科毕业生进行了深入调研。对服装企业转型升级用人需求、院校专业人才培养、毕业生专业能力等方面进行广泛的调研，同时开展本专业教学模式、课程体系、教学内容构建的相关研究，制定了职业本科的人才培养方案，构建课程体系、改革教学模式，尝试设计工作坊或设计公司运作模式的工作室一体化教学，修订教学内容及课程名称等。</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p>
    <w:p>
      <w:pPr>
        <w:widowControl/>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541655</wp:posOffset>
            </wp:positionH>
            <wp:positionV relativeFrom="paragraph">
              <wp:posOffset>8890</wp:posOffset>
            </wp:positionV>
            <wp:extent cx="4311015" cy="2245360"/>
            <wp:effectExtent l="0" t="0" r="6985" b="254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cstate="print"/>
                    <a:stretch>
                      <a:fillRect/>
                    </a:stretch>
                  </pic:blipFill>
                  <pic:spPr>
                    <a:xfrm>
                      <a:off x="0" y="0"/>
                      <a:ext cx="4311015" cy="2245360"/>
                    </a:xfrm>
                    <a:prstGeom prst="rect">
                      <a:avLst/>
                    </a:prstGeom>
                    <a:noFill/>
                    <a:ln>
                      <a:noFill/>
                    </a:ln>
                  </pic:spPr>
                </pic:pic>
              </a:graphicData>
            </a:graphic>
          </wp:anchor>
        </w:drawing>
      </w:r>
      <w:r>
        <w:rPr>
          <w:rFonts w:hint="eastAsia" w:ascii="宋体" w:hAnsi="宋体" w:eastAsia="宋体" w:cs="宋体"/>
          <w:sz w:val="21"/>
          <w:szCs w:val="21"/>
        </w:rPr>
        <w:t>图2：服装专业构建课程体系、改革教学模式</w:t>
      </w:r>
    </w:p>
    <w:bookmarkEnd w:id="210"/>
    <w:p>
      <w:pPr>
        <w:spacing w:line="240" w:lineRule="auto"/>
        <w:jc w:val="left"/>
        <w:outlineLvl w:val="1"/>
        <w:rPr>
          <w:rStyle w:val="24"/>
          <w:rFonts w:ascii="黑体" w:hAnsi="黑体" w:eastAsia="黑体" w:cs="黑体"/>
          <w:sz w:val="28"/>
          <w:szCs w:val="28"/>
        </w:rPr>
      </w:pPr>
      <w:bookmarkStart w:id="211" w:name="_Toc28205"/>
      <w:bookmarkStart w:id="212" w:name="_Toc3937"/>
      <w:bookmarkStart w:id="213" w:name="_Toc18818"/>
      <w:bookmarkStart w:id="214" w:name="_Toc30757"/>
      <w:bookmarkStart w:id="215" w:name="_Toc6293"/>
      <w:r>
        <w:rPr>
          <w:rStyle w:val="24"/>
          <w:rFonts w:hint="eastAsia" w:ascii="黑体" w:hAnsi="黑体" w:eastAsia="黑体" w:cs="黑体"/>
          <w:sz w:val="28"/>
          <w:szCs w:val="28"/>
        </w:rPr>
        <w:t>（二）推进校企深度合作，打造联合育人特色</w:t>
      </w:r>
      <w:bookmarkEnd w:id="211"/>
      <w:bookmarkEnd w:id="212"/>
    </w:p>
    <w:bookmarkEnd w:id="213"/>
    <w:bookmarkEnd w:id="214"/>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学校秉承产业伙伴型大学的办学定位，瞄准区域高端产业和产业高端，与区域行业知名企业共建产业学院、示范专业，致力成为区域产业离不开的教育伙伴。</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产教融合的产业学院建设：以国科数字产业学院为例。产教融合的主要特点是，校企合作建设实体产业学院，校企双方进行全方位的联合育人。学校于2021年，与华为五钻运营商、福建国科信息科技有限公司，校企联合成立“国科数字产业学院”，成为学校第一个实体产业学院。合作方式，由开始的合作办专业，发展到合作办由三个专业组成的专业群；由开始的专业教学合作，发展到全方位教育教学合作，合作领域覆盖了学生在学校培养的全周期，涵盖了师资队伍、实训条件、科研工作等办学的全要素。充分发挥国科科技“福建省产教融合型企业”的优势，以培养新一代信息技术专业群的高层次技术技能型人才为核心，以“思政引领、双轮驱动、四链衔接”的产教融合实践开展学院建设的探索，以弘扬社会主义核心价值观为主线，以“立德立志立业”为基本内涵，融入“产业学院+产教融合基地”的双轮建设中，实现“引产入教、引技入企”，以产业项目驱动教育改革，开发产业课程，改革人才培养方案，培养产业所需的新兴技术人才。始终围绕“四心四化一平台”建设思路，以教学改革推动人才培养模式的优化，提出了“问题在真实情境中萌生、知识在实践探究中建构、任务在深度学习中完成、成果在展示评价中表达”的教学改革思路并落地实践，实现真实项目与课程教学融合，建构适应新技术发展、适应区域经济发展需求、适应企业实际岗位需求的人才培养模式。2021年，国科数字产业学院获省级职业教育产业学院试点，建设成果入选教育部产教融合校企合作典型案例，荣获校级教学成果奖特等奖。</w:t>
      </w:r>
    </w:p>
    <w:p>
      <w:pPr>
        <w:pStyle w:val="2"/>
        <w:rPr>
          <w:rFonts w:hint="eastAsia" w:ascii="宋体" w:hAnsi="宋体" w:eastAsia="宋体" w:cs="宋体"/>
          <w:sz w:val="24"/>
        </w:rPr>
      </w:pPr>
      <w:r>
        <w:drawing>
          <wp:inline distT="0" distB="0" distL="0" distR="0">
            <wp:extent cx="5323840" cy="1746885"/>
            <wp:effectExtent l="0" t="0" r="10160" b="5715"/>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a:picLocks noChangeAspect="1"/>
                    </pic:cNvPicPr>
                  </pic:nvPicPr>
                  <pic:blipFill>
                    <a:blip r:embed="rId11" cstate="print"/>
                    <a:stretch>
                      <a:fillRect/>
                    </a:stretch>
                  </pic:blipFill>
                  <pic:spPr>
                    <a:xfrm>
                      <a:off x="0" y="0"/>
                      <a:ext cx="5323840" cy="1746885"/>
                    </a:xfrm>
                    <a:prstGeom prst="rect">
                      <a:avLst/>
                    </a:prstGeom>
                  </pic:spPr>
                </pic:pic>
              </a:graphicData>
            </a:graphic>
          </wp:inline>
        </w:drawing>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图3：“产业学院+产教融合基地”双轮驱动产教融合</w:t>
      </w:r>
    </w:p>
    <w:p>
      <w:pPr>
        <w:widowControl/>
        <w:jc w:val="center"/>
        <w:rPr>
          <w:rFonts w:ascii="宋体" w:hAnsi="宋体" w:eastAsia="宋体" w:cs="宋体"/>
          <w:sz w:val="24"/>
        </w:rPr>
      </w:pPr>
      <w:r>
        <w:drawing>
          <wp:inline distT="0" distB="0" distL="0" distR="0">
            <wp:extent cx="5314950" cy="5106670"/>
            <wp:effectExtent l="0" t="0" r="3810" b="1397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pic:cNvPicPr>
                      <a:picLocks noChangeAspect="1"/>
                    </pic:cNvPicPr>
                  </pic:nvPicPr>
                  <pic:blipFill>
                    <a:blip r:embed="rId12" cstate="print"/>
                    <a:stretch>
                      <a:fillRect/>
                    </a:stretch>
                  </pic:blipFill>
                  <pic:spPr>
                    <a:xfrm>
                      <a:off x="0" y="0"/>
                      <a:ext cx="5314950" cy="5106670"/>
                    </a:xfrm>
                    <a:prstGeom prst="rect">
                      <a:avLst/>
                    </a:prstGeom>
                  </pic:spPr>
                </pic:pic>
              </a:graphicData>
            </a:graphic>
          </wp:inline>
        </w:drawing>
      </w:r>
    </w:p>
    <w:p>
      <w:pPr>
        <w:widowControl/>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图4：“四心四化一平台”建设思路</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产教融合的专业群建设：以电子商务专业群为例。产教融合的主要特点是，陪伴企业成长，与企业共生共荣。从最初的组织电子商务专业群学生作为职场体验活动，参与安踏集团“618”“双11”“双12”等大型网购狂欢节。到校企合作共建电商工作室，发展到将“安踏企业大学”的课程转化嵌入学校人才培养方案，形成校企共同育人的课程体系。在此基础上，电子商务专业群于2020年与厦门安踏体育用品有限公司共建“安踏电商服务产业学院”，校企双方联合打造商科类专业实战月品牌项目，形成了“教学+实训+社会服务+技能比拼”为一体的模式。陪伴安踏从2016年“双十一”成交额4.8亿发展为2020年的28.4亿，产生明显的经济和社会效益，成为安踏电商最重要的教育伙伴。</w:t>
      </w:r>
    </w:p>
    <w:p>
      <w:pPr>
        <w:widowControl/>
        <w:rPr>
          <w:rFonts w:ascii="宋体" w:hAnsi="宋体" w:eastAsia="宋体" w:cs="宋体"/>
          <w:sz w:val="24"/>
        </w:rPr>
      </w:pPr>
      <w:r>
        <w:drawing>
          <wp:inline distT="0" distB="0" distL="114300" distR="114300">
            <wp:extent cx="5268595" cy="2442210"/>
            <wp:effectExtent l="0" t="0" r="1905"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stretch>
                      <a:fillRect/>
                    </a:stretch>
                  </pic:blipFill>
                  <pic:spPr>
                    <a:xfrm>
                      <a:off x="0" y="0"/>
                      <a:ext cx="5268595" cy="2442210"/>
                    </a:xfrm>
                    <a:prstGeom prst="rect">
                      <a:avLst/>
                    </a:prstGeom>
                    <a:noFill/>
                    <a:ln>
                      <a:noFill/>
                    </a:ln>
                  </pic:spPr>
                </pic:pic>
              </a:graphicData>
            </a:graphic>
          </wp:inline>
        </w:drawing>
      </w:r>
    </w:p>
    <w:p>
      <w:pPr>
        <w:widowControl/>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图5：安踏电商服务产业学院共建模型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产教融合的专业建设：以环境艺术设计专业为例。产教融合的主要特点是，共同打造“学校、政府、企业”三方协同的产教融合平台。学校环境艺术设计专业积极响应国家乡村振兴战略，发挥专业资源优势，以专业工作室为载体，承接乡村振兴项目并转化为教学任务，聘请校内及企业导师，搭建了“校政企”三方协同的产教融合平台。近三年参与对接共建单位镇级4个，村级53个，完成项目达70项，项目建设资金累计达2000万元以上。以乡村微景观建造项目为载体，课程开发项目化，实现了专业教学“做中学、学中做”。</w:t>
      </w: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67960" cy="2416810"/>
            <wp:effectExtent l="0" t="0" r="2540" b="8890"/>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14"/>
                    <a:srcRect t="13618"/>
                    <a:stretch>
                      <a:fillRect/>
                    </a:stretch>
                  </pic:blipFill>
                  <pic:spPr>
                    <a:xfrm>
                      <a:off x="0" y="0"/>
                      <a:ext cx="5267960" cy="2416810"/>
                    </a:xfrm>
                    <a:prstGeom prst="rect">
                      <a:avLst/>
                    </a:prstGeom>
                    <a:noFill/>
                    <a:ln>
                      <a:noFill/>
                    </a:ln>
                  </pic:spPr>
                </pic:pic>
              </a:graphicData>
            </a:graphic>
          </wp:inline>
        </w:drawing>
      </w:r>
    </w:p>
    <w:p>
      <w:pPr>
        <w:widowControl/>
        <w:spacing w:line="240" w:lineRule="auto"/>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图6：部分服务情况</w:t>
      </w:r>
    </w:p>
    <w:p>
      <w:pPr>
        <w:numPr>
          <w:ilvl w:val="255"/>
          <w:numId w:val="0"/>
        </w:numPr>
        <w:jc w:val="left"/>
        <w:rPr>
          <w:rStyle w:val="24"/>
          <w:rFonts w:ascii="黑体" w:hAnsi="黑体" w:eastAsia="黑体" w:cs="黑体"/>
          <w:sz w:val="28"/>
          <w:szCs w:val="28"/>
        </w:rPr>
      </w:pPr>
      <w:bookmarkStart w:id="216" w:name="_Toc14276"/>
      <w:bookmarkStart w:id="217" w:name="_Toc18567"/>
      <w:bookmarkStart w:id="218" w:name="_Toc12782"/>
      <w:r>
        <w:rPr>
          <w:rStyle w:val="24"/>
          <w:rFonts w:hint="eastAsia" w:ascii="黑体" w:hAnsi="黑体" w:eastAsia="黑体" w:cs="黑体"/>
          <w:sz w:val="28"/>
          <w:szCs w:val="28"/>
        </w:rPr>
        <w:br w:type="page"/>
      </w:r>
    </w:p>
    <w:p>
      <w:pPr>
        <w:numPr>
          <w:ilvl w:val="0"/>
          <w:numId w:val="1"/>
        </w:numPr>
        <w:spacing w:line="240" w:lineRule="auto"/>
        <w:jc w:val="left"/>
        <w:outlineLvl w:val="1"/>
        <w:rPr>
          <w:rStyle w:val="24"/>
          <w:rFonts w:hint="eastAsia" w:ascii="黑体" w:hAnsi="黑体" w:eastAsia="黑体" w:cs="黑体"/>
          <w:sz w:val="28"/>
          <w:szCs w:val="28"/>
        </w:rPr>
      </w:pPr>
      <w:bookmarkStart w:id="219" w:name="_Toc18580"/>
      <w:r>
        <w:rPr>
          <w:rStyle w:val="24"/>
          <w:rFonts w:hint="eastAsia" w:ascii="黑体" w:hAnsi="黑体" w:eastAsia="黑体" w:cs="黑体"/>
          <w:sz w:val="28"/>
          <w:szCs w:val="28"/>
        </w:rPr>
        <w:t>校地融合工学结合，构建实践育人体系</w:t>
      </w:r>
      <w:bookmarkEnd w:id="219"/>
    </w:p>
    <w:bookmarkEnd w:id="216"/>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以绿色建筑类高层次技术技能人才培养为例</w:t>
      </w:r>
      <w:r>
        <w:rPr>
          <w:rFonts w:hint="eastAsia" w:ascii="宋体" w:hAnsi="宋体" w:eastAsia="宋体" w:cs="宋体"/>
          <w:sz w:val="24"/>
          <w:lang w:eastAsia="zh-CN"/>
        </w:rPr>
        <w:t>。</w:t>
      </w:r>
      <w:r>
        <w:rPr>
          <w:rFonts w:hint="eastAsia" w:ascii="宋体" w:hAnsi="宋体" w:eastAsia="宋体" w:cs="宋体"/>
          <w:sz w:val="24"/>
        </w:rPr>
        <w:t>绿色建筑推动着城乡建设和建筑领域低碳发展，是我国实施可持续发展战略的关键突破口。绿色建筑类人才培养对于落实福建省作为“国家生态文明建设示范省”国家战略意义重大，在职业教育产教融合背景下，学校进一步加强完善“校地融合、工学结合”体系与绿色建筑高技术人才的培养。</w:t>
      </w:r>
    </w:p>
    <w:p>
      <w:pPr>
        <w:spacing w:line="720" w:lineRule="auto"/>
        <w:jc w:val="left"/>
        <w:rPr>
          <w:rFonts w:ascii="宋体" w:hAnsi="宋体" w:eastAsia="宋体" w:cs="宋体"/>
          <w:sz w:val="24"/>
        </w:rPr>
      </w:pPr>
      <w:r>
        <w:rPr>
          <w:rFonts w:hint="eastAsia" w:ascii="宋体" w:hAnsi="宋体" w:eastAsia="宋体" w:cs="宋体"/>
          <w:sz w:val="24"/>
        </w:rPr>
        <w:drawing>
          <wp:inline distT="0" distB="0" distL="114300" distR="114300">
            <wp:extent cx="5514340" cy="3279140"/>
            <wp:effectExtent l="0" t="0" r="10160" b="10160"/>
            <wp:docPr id="13" name="图片 3" descr="d:\Users\Administrator\Desktop\新建文件夹 (7)\5张重要的流程图\图1-“产教融合、工学结合”实践育人体系.jpg图1-“产教融合、工学结合”实践育人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Users\Administrator\Desktop\新建文件夹 (7)\5张重要的流程图\图1-“产教融合、工学结合”实践育人体系.jpg图1-“产教融合、工学结合”实践育人体系"/>
                    <pic:cNvPicPr>
                      <a:picLocks noChangeAspect="1"/>
                    </pic:cNvPicPr>
                  </pic:nvPicPr>
                  <pic:blipFill>
                    <a:blip r:embed="rId15"/>
                    <a:srcRect/>
                    <a:stretch>
                      <a:fillRect/>
                    </a:stretch>
                  </pic:blipFill>
                  <pic:spPr>
                    <a:xfrm>
                      <a:off x="0" y="0"/>
                      <a:ext cx="5514340" cy="3279140"/>
                    </a:xfrm>
                    <a:prstGeom prst="rect">
                      <a:avLst/>
                    </a:prstGeom>
                    <a:noFill/>
                    <a:ln w="9525">
                      <a:noFill/>
                    </a:ln>
                  </pic:spPr>
                </pic:pic>
              </a:graphicData>
            </a:graphic>
          </wp:inline>
        </w:drawing>
      </w:r>
    </w:p>
    <w:p>
      <w:pPr>
        <w:widowControl/>
        <w:spacing w:line="240" w:lineRule="auto"/>
        <w:ind w:firstLine="420" w:firstLineChars="200"/>
        <w:jc w:val="center"/>
        <w:rPr>
          <w:rFonts w:hint="eastAsia" w:ascii="宋体" w:hAnsi="宋体" w:eastAsia="宋体" w:cs="宋体"/>
          <w:szCs w:val="21"/>
        </w:rPr>
      </w:pPr>
      <w:r>
        <w:rPr>
          <w:rFonts w:hint="eastAsia" w:ascii="宋体" w:hAnsi="宋体" w:eastAsia="宋体" w:cs="宋体"/>
          <w:szCs w:val="21"/>
        </w:rPr>
        <w:t>图7：“校地融合、工学结合”实践育人体系</w:t>
      </w:r>
    </w:p>
    <w:p>
      <w:pPr>
        <w:keepNext w:val="0"/>
        <w:keepLines w:val="0"/>
        <w:pageBreakBefore w:val="0"/>
        <w:kinsoku/>
        <w:wordWrap/>
        <w:overflowPunct/>
        <w:topLinePunct w:val="0"/>
        <w:autoSpaceDE/>
        <w:autoSpaceDN/>
        <w:bidi w:val="0"/>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建设“校内沉浸式立体教学空间+校外美丽乡村建设实际项目”结合的实践教学基地，构建“校地融合、工学结合”实践育人实训平台。依托泉州职业技术大学晋江校区生态校园、绿色校园、节能校园、智慧校园、立体校园等六大校园工程的设计与建设，作为绿色建筑人才“校内沉浸式立体教学空间”；承接美丽乡村建设实际项目，作为校外实践育人实训载体，实现项目的“勘测、设计、施工、监理、预算”等全程化教学实践环节；基于校内外实践育人实训平台，开展创新创业教育实践育人活动，形成“校内立体教学－校外实际项目－创新创业活动”的递进式实践育人实训平台。</w:t>
      </w:r>
    </w:p>
    <w:p>
      <w:pPr>
        <w:keepNext w:val="0"/>
        <w:keepLines w:val="0"/>
        <w:pageBreakBefore w:val="0"/>
        <w:kinsoku/>
        <w:wordWrap/>
        <w:overflowPunct/>
        <w:topLinePunct w:val="0"/>
        <w:autoSpaceDE/>
        <w:autoSpaceDN/>
        <w:bidi w:val="0"/>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建设“学校+政府+企业”三方协同的实践教学工作室，构建“校地融合、工学结合”实践育人实施平台。以国家政策和市场机制为导向，校政企三方协同，成立“城乡生态建设</w:t>
      </w:r>
      <w:r>
        <w:rPr>
          <w:rFonts w:hint="eastAsia" w:ascii="宋体" w:hAnsi="宋体" w:eastAsia="宋体" w:cs="宋体"/>
          <w:sz w:val="24"/>
          <w:lang w:eastAsia="zh-CN"/>
        </w:rPr>
        <w:t>”“</w:t>
      </w:r>
      <w:r>
        <w:rPr>
          <w:rFonts w:hint="eastAsia" w:ascii="宋体" w:hAnsi="宋体" w:eastAsia="宋体" w:cs="宋体"/>
          <w:sz w:val="24"/>
        </w:rPr>
        <w:t>BIM咨询”等专业工作室，将工作室汇聚的生产项目、技术人员、企业文化等资源融入实践育人全过程；构建“工作室、项目化、双导师、课程思政”四位一体的实践教学模式。按照“项目带动，能力递进，思政融入”的要求，在“教学做”中掌握实践技能、践行德技并修；实施“岗－课－赛－证”融通的实践育人模式。校政企三方协同，对标“岗位”技能要求，设置“课程”实践内容，教学质量“竞赛”评价，学习成果行业“认证”。</w:t>
      </w:r>
    </w:p>
    <w:p>
      <w:pPr>
        <w:keepNext w:val="0"/>
        <w:keepLines w:val="0"/>
        <w:pageBreakBefore w:val="0"/>
        <w:kinsoku/>
        <w:wordWrap/>
        <w:overflowPunct/>
        <w:topLinePunct w:val="0"/>
        <w:autoSpaceDE/>
        <w:autoSpaceDN/>
        <w:bidi w:val="0"/>
        <w:spacing w:line="400" w:lineRule="exact"/>
        <w:ind w:firstLine="480" w:firstLineChars="200"/>
        <w:textAlignment w:val="auto"/>
        <w:rPr>
          <w:color w:val="FF0000"/>
        </w:rPr>
      </w:pPr>
      <w:r>
        <w:rPr>
          <w:rFonts w:hint="eastAsia" w:ascii="宋体" w:hAnsi="宋体" w:eastAsia="宋体" w:cs="宋体"/>
          <w:sz w:val="24"/>
        </w:rPr>
        <w:t>建设“生态论坛+技术创新+工程实践”一体的工程技术应用中心，构建“校地融合、工学结合”实践育人支撑平台。由我校绿色建筑福建省高校应用技术工程中心牵头，联合政府、高校和企业，组建“福建省环境教育学会年会与生态文明论坛”，论坛有效挖掘行业优势资源，形成协同合作机制，提供实践育人支撑平台；依托中心，技术创新，具有多项自主知识产权的绿色建筑技术成果，培养科技特派员团队和科技特派员，推广溢出服务地方建设；以“乡镇技术服务”为载体，近三年师生参与对接共建单位，完成工程实践项目，达成实践育人目标。</w:t>
      </w:r>
    </w:p>
    <w:p>
      <w:pPr>
        <w:numPr>
          <w:ilvl w:val="255"/>
          <w:numId w:val="0"/>
        </w:numPr>
        <w:spacing w:line="240" w:lineRule="auto"/>
        <w:outlineLvl w:val="1"/>
        <w:rPr>
          <w:rStyle w:val="24"/>
          <w:rFonts w:ascii="黑体" w:hAnsi="黑体" w:eastAsia="黑体" w:cs="黑体"/>
          <w:sz w:val="28"/>
          <w:szCs w:val="28"/>
        </w:rPr>
      </w:pPr>
      <w:bookmarkStart w:id="220" w:name="_Toc30928"/>
      <w:bookmarkStart w:id="221" w:name="_Toc1899"/>
      <w:r>
        <w:rPr>
          <w:rStyle w:val="24"/>
          <w:rFonts w:hint="eastAsia" w:ascii="黑体" w:hAnsi="黑体" w:eastAsia="黑体" w:cs="黑体"/>
          <w:sz w:val="28"/>
          <w:szCs w:val="28"/>
        </w:rPr>
        <w:t>（四）“学做传”一体化教学，深化通识课程改革</w:t>
      </w:r>
      <w:bookmarkEnd w:id="220"/>
      <w:bookmarkEnd w:id="221"/>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通识教育学院根据《关于实施中华优秀传统文化传承发展工程的意见》，聚焦传统文化通识教育课程建设，向艺术、文旅、商科等专业课程延伸，重点开展传统文化必修课、选修课及第二课堂活动。围绕“课程建设”和“素质教育活动”两个重要育人环节，在学院与书院中开展必修课、选修课及课外实践活动，形成了以中华优秀传统文化必修课为基础，海丝文化为特色的模块化选修课。经过多年的探索与实践，通识教育传统文化类课程形成了“学做传”一体的教学模式，并取得了显著成效。</w:t>
      </w:r>
    </w:p>
    <w:p>
      <w:pPr>
        <w:keepNext w:val="0"/>
        <w:keepLines w:val="0"/>
        <w:pageBreakBefore w:val="0"/>
        <w:widowControl/>
        <w:kinsoku/>
        <w:wordWrap/>
        <w:overflowPunct/>
        <w:topLinePunct w:val="0"/>
        <w:autoSpaceDE/>
        <w:autoSpaceDN/>
        <w:bidi w:val="0"/>
        <w:spacing w:line="400" w:lineRule="exact"/>
        <w:ind w:right="377" w:firstLine="480" w:firstLineChars="200"/>
        <w:textAlignment w:val="auto"/>
        <w:rPr>
          <w:rFonts w:ascii="宋体" w:hAnsi="宋体" w:eastAsia="宋体" w:cs="宋体"/>
          <w:sz w:val="24"/>
        </w:rPr>
      </w:pPr>
      <w:r>
        <w:rPr>
          <w:rFonts w:hint="eastAsia" w:ascii="宋体" w:hAnsi="宋体" w:eastAsia="宋体" w:cs="宋体"/>
          <w:sz w:val="24"/>
        </w:rPr>
        <w:t>聚焦通识教育传统文化课程提升大学生人文素养、培育工匠精神以及增强文化自信这一关键命题，以教学理念更新为起点，构建了传统文化“国粹、地域、校本”三域并重的课程体系，解决了“重理论轻实践”的问题；以教学实施改进为核心，创新了传统文化“学习、实做、传承”三位一体的教学模式，解决了“重传授轻启迪”的问题；以教学条件完善为抓手，创建了传统文化“工坊+书院、课内+课外、校内+校外”三维多元的实践平台，解决了“重传播轻传承”的问题，形成了通识教育传统文化类课程“学做传”一体教学模式，提升了学生人文素养，提升课程建设水平，提升了教师教学能力。也形成了非遗教育“泉大经验”，并服务地方文化传承创新。获批泉州人文社科普及基地；被泉州团市委授予“青少年传统文化教育基地”；被教育部文化素质教指委授予“传统技艺传承基地”；被中华职教社授予《职业院校中华文明礼仪教育研究与实践》“实验学校”称号；被“国际大体联”“世中运”组委会指定为运动员文化体验基地。在第三届“黄炎培杯”中华职业教育非遗创新大赛中，学校师生取得了3个项目总分小组排名第一的好成绩。非遗创新作品类比赛中，我校师生作品荣获2项一等奖、2项优秀作品、2项最佳指导教师奖，同时，学校更获评为非遗教育特色院校（全国本科仅2所，排名第一）。</w:t>
      </w:r>
    </w:p>
    <w:p>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学习强国、</w:t>
      </w:r>
      <w:r>
        <w:rPr>
          <w:rFonts w:hint="eastAsia" w:ascii="宋体" w:hAnsi="宋体" w:eastAsia="宋体" w:cs="宋体"/>
          <w:sz w:val="24"/>
          <w:lang w:eastAsia="zh-CN"/>
        </w:rPr>
        <w:t>《光明日报》</w:t>
      </w:r>
      <w:r>
        <w:rPr>
          <w:rFonts w:hint="eastAsia" w:ascii="宋体" w:hAnsi="宋体" w:eastAsia="宋体" w:cs="宋体"/>
          <w:sz w:val="24"/>
        </w:rPr>
        <w:t>、人民网、福建教育电视台等媒体曾多次报道学校传统文化教育的相关成效与经验。国际大体联官方（外媒）报道了我校在大体联足球赛期间的运动员文化交流活动，菲律宾电视台报道了我校承办泉州市侨联“海外华侨子女夏令营”活动。</w:t>
      </w:r>
    </w:p>
    <w:p>
      <w:pPr>
        <w:widowControl/>
        <w:adjustRightInd w:val="0"/>
        <w:snapToGrid w:val="0"/>
        <w:jc w:val="center"/>
        <w:rPr>
          <w:rFonts w:ascii="宋体" w:hAnsi="宋体" w:eastAsia="宋体" w:cs="宋体"/>
          <w:sz w:val="24"/>
        </w:rPr>
      </w:pPr>
      <w:r>
        <w:rPr>
          <w:rFonts w:hint="eastAsia" w:ascii="宋体" w:hAnsi="宋体" w:eastAsia="宋体" w:cs="宋体"/>
          <w:sz w:val="24"/>
        </w:rPr>
        <w:drawing>
          <wp:inline distT="0" distB="0" distL="0" distR="0">
            <wp:extent cx="5346700" cy="2793365"/>
            <wp:effectExtent l="0" t="0" r="0" b="635"/>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pic:nvPicPr>
                  <pic:blipFill>
                    <a:blip r:embed="rId16" cstate="print"/>
                    <a:srcRect/>
                    <a:stretch>
                      <a:fillRect/>
                    </a:stretch>
                  </pic:blipFill>
                  <pic:spPr>
                    <a:xfrm>
                      <a:off x="0" y="0"/>
                      <a:ext cx="5346700" cy="2793365"/>
                    </a:xfrm>
                    <a:prstGeom prst="rect">
                      <a:avLst/>
                    </a:prstGeom>
                    <a:ln>
                      <a:noFill/>
                    </a:ln>
                  </pic:spPr>
                </pic:pic>
              </a:graphicData>
            </a:graphic>
          </wp:inline>
        </w:drawing>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图8：通识教育传统文化类课程“学做传”一体的教学改革创新实践</w:t>
      </w:r>
    </w:p>
    <w:bookmarkEnd w:id="217"/>
    <w:bookmarkEnd w:id="218"/>
    <w:p>
      <w:pPr>
        <w:pStyle w:val="3"/>
        <w:spacing w:line="240" w:lineRule="auto"/>
        <w:jc w:val="left"/>
        <w:rPr>
          <w:sz w:val="30"/>
          <w:szCs w:val="30"/>
        </w:rPr>
      </w:pPr>
      <w:bookmarkStart w:id="222" w:name="_Toc20670"/>
      <w:bookmarkStart w:id="223" w:name="_Toc8881"/>
      <w:bookmarkStart w:id="224" w:name="_Toc8319"/>
      <w:bookmarkStart w:id="225" w:name="_Toc8375"/>
      <w:r>
        <w:rPr>
          <w:rFonts w:hint="eastAsia"/>
          <w:sz w:val="30"/>
          <w:szCs w:val="30"/>
        </w:rPr>
        <w:t>八、挑战与对策</w:t>
      </w:r>
      <w:bookmarkEnd w:id="215"/>
      <w:bookmarkEnd w:id="222"/>
      <w:bookmarkEnd w:id="223"/>
      <w:bookmarkEnd w:id="224"/>
      <w:bookmarkEnd w:id="225"/>
    </w:p>
    <w:p>
      <w:pPr>
        <w:widowControl/>
        <w:spacing w:line="240" w:lineRule="auto"/>
        <w:jc w:val="left"/>
        <w:outlineLvl w:val="1"/>
        <w:rPr>
          <w:rStyle w:val="24"/>
          <w:rFonts w:ascii="黑体" w:hAnsi="黑体" w:eastAsia="黑体" w:cs="黑体"/>
          <w:sz w:val="28"/>
          <w:szCs w:val="28"/>
        </w:rPr>
      </w:pPr>
      <w:bookmarkStart w:id="226" w:name="_Toc30405"/>
      <w:bookmarkStart w:id="227" w:name="_Toc32112"/>
      <w:bookmarkStart w:id="228" w:name="_Toc17438"/>
      <w:bookmarkStart w:id="229" w:name="_Toc1502"/>
      <w:bookmarkStart w:id="230" w:name="_Toc10529"/>
      <w:bookmarkStart w:id="231" w:name="_Toc15615"/>
      <w:bookmarkStart w:id="232" w:name="_Toc23130"/>
      <w:r>
        <w:rPr>
          <w:rStyle w:val="24"/>
          <w:rFonts w:hint="eastAsia" w:ascii="黑体" w:hAnsi="黑体" w:eastAsia="黑体" w:cs="黑体"/>
          <w:sz w:val="28"/>
          <w:szCs w:val="28"/>
        </w:rPr>
        <w:t>（一）职业本科教育改革试点挑战</w:t>
      </w:r>
      <w:bookmarkEnd w:id="226"/>
      <w:bookmarkEnd w:id="227"/>
      <w:bookmarkEnd w:id="228"/>
      <w:bookmarkEnd w:id="229"/>
      <w:bookmarkEnd w:id="230"/>
      <w:bookmarkEnd w:id="231"/>
      <w:bookmarkEnd w:id="232"/>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Style w:val="24"/>
          <w:rFonts w:ascii="宋体" w:hAnsi="宋体" w:eastAsia="宋体" w:cs="宋体"/>
          <w:sz w:val="24"/>
        </w:rPr>
      </w:pPr>
      <w:r>
        <w:rPr>
          <w:rFonts w:hint="eastAsia" w:ascii="宋体" w:hAnsi="宋体" w:eastAsia="宋体" w:cs="宋体"/>
          <w:sz w:val="24"/>
        </w:rPr>
        <w:t>2019年以来，学校积极推进职业本科试点改革工作，取得了一些阶段性成果，但距离职业本科高水平、高起点、高质量</w:t>
      </w:r>
      <w:bookmarkStart w:id="240" w:name="_GoBack"/>
      <w:bookmarkEnd w:id="240"/>
      <w:r>
        <w:rPr>
          <w:rFonts w:hint="eastAsia" w:ascii="宋体" w:hAnsi="宋体" w:eastAsia="宋体" w:cs="宋体"/>
          <w:sz w:val="24"/>
        </w:rPr>
        <w:t>的建设要求还存在一些不足。一是高层次的教师队伍建设需进一步加强。近年来，学校加大了教学团队、科研团队、专业建设团队高层次领军人才的引进和培育力度，但在与学校建设发展匹配度、职业本科教学科研适应性等方面还需下功夫、见成效。二是高质量的教学内涵建设需进一步加强。学校作为首批职业本科试点院校，在建立完善职业本科教学质量标准体系、教学质量保证体系，加强职业本科专业、课程、教材建设，深化产教融合、校企合作等方面还有一定提升空间。三是高水平的科研平台建设需进一步加强。学校遵循职业本科院校建设规律，建设了一批技术研发推广平台，但在校内专业覆盖度、社会服务贡献度等方面还需加大培育和建设力度。</w:t>
      </w:r>
    </w:p>
    <w:p>
      <w:pPr>
        <w:widowControl/>
        <w:spacing w:line="240" w:lineRule="auto"/>
        <w:jc w:val="left"/>
        <w:outlineLvl w:val="1"/>
        <w:rPr>
          <w:rStyle w:val="24"/>
          <w:rFonts w:ascii="黑体" w:hAnsi="黑体" w:eastAsia="黑体" w:cs="黑体"/>
          <w:sz w:val="28"/>
          <w:szCs w:val="28"/>
        </w:rPr>
      </w:pPr>
      <w:bookmarkStart w:id="233" w:name="_Toc20436"/>
      <w:bookmarkStart w:id="234" w:name="_Toc24586"/>
      <w:bookmarkStart w:id="235" w:name="_Toc21254"/>
      <w:bookmarkStart w:id="236" w:name="_Toc25734"/>
      <w:bookmarkStart w:id="237" w:name="_Toc4176"/>
      <w:bookmarkStart w:id="238" w:name="_Toc18392"/>
      <w:bookmarkStart w:id="239" w:name="_Toc8369"/>
      <w:r>
        <w:rPr>
          <w:rStyle w:val="24"/>
          <w:rFonts w:hint="eastAsia" w:ascii="黑体" w:hAnsi="黑体" w:eastAsia="黑体" w:cs="黑体"/>
          <w:sz w:val="28"/>
          <w:szCs w:val="28"/>
        </w:rPr>
        <w:t>（二）职业本科教育改革试点对策</w:t>
      </w:r>
      <w:bookmarkEnd w:id="233"/>
      <w:bookmarkEnd w:id="234"/>
      <w:bookmarkEnd w:id="235"/>
      <w:bookmarkEnd w:id="236"/>
      <w:bookmarkEnd w:id="237"/>
      <w:bookmarkEnd w:id="238"/>
      <w:bookmarkEnd w:id="239"/>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我国职业教育已进入高质量发展阶段，学校作为福建省唯一的职业本科教育试点院校，必须紧盯关键瓶颈问题抓整改，紧盯国家标准抓建设，紧盯长远规划抓发展。</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1.坚守初心抓知名职校建设。坚守职业教育类型特色，加强学校建设发展顶层设计，打造福建省职业本科教育高地，建设在国内有一定影响力的知名职业院校。弄懂、吃透、落实国家、教育部关于职业本科试点改革的系列政策，积极参与职业本科专业设置研究、专业教学标准制定等工作；联合国内知名高校共建职业教育研究基地，加大职业本科教育的理论研究和实践探索力度；争取在中国高等教育协会、中国民办教育协会、中国职业技术教育协会等平台发出泉大声音，提高职业本科教育改革的贡献度和影响力。</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2.引育并举抓师资队伍建设。学校十四五期间设置人才专项资金，充分利用泉州市桐江学者奖励计划、晋江市硕博倍增计划等地方人才政策，加大高层次人才引进力度，重点加强省级教学名师、高层次人才担任专业带头人以及博士学位人才的引进，不遗余力地向有关部门争取开展民办职业本科教师事业编制试点。加强专职、兼职教师的培养，建立完善校院两级培养机制，探索校企共同培养教师的模式与途径，重点抓好“双师型”教师、中青年骨干教师、专业带头人梯队的培养，支持在职教师攻读博士，提高学历层次。</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3.产教融合抓教学内涵建设。深化产教融合、加强校企合作，是办好职业本科教育的根本途径和重要抓手。下一步学校要在校企共同实施“三个一工程”上下功夫，以此牵引学校教学内涵建设发展。每个专业群建设1个校企共建的高水平产业学院；每个专业深耕1个以上产教融合项目，如校企合作开展人才培养共育、实训基地共建、科研平台共享等；每门专业核心课程有“1+N”个校企合作内容，如一课双师（学校老师+企业导师）、一课双训（学校课程实训+企业生产实训）、一课双建（校企共建课程大纲，共同确定教学内容）等。</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rPr>
      </w:pPr>
      <w:r>
        <w:rPr>
          <w:rFonts w:hint="eastAsia" w:ascii="宋体" w:hAnsi="宋体" w:eastAsia="宋体" w:cs="宋体"/>
          <w:sz w:val="24"/>
        </w:rPr>
        <w:t>4.科创协同抓科研平台建设。加强政校行企研合作，鼓励跨单位跨领域协同创新，建设一批与职业本科教育相适应的技术研发推广平台，重点建设省级以上工程研究中心、协同创新中心、重点实验室等，确保技术研发推广平台覆盖所有专业。坚持科研为教学服务，通过高水平的科研平台建设促进高水平的专业团队、教学团队建设，支撑学生参与科研创新活动。坚持科研为社会服务，以技术应用研究为基石、以成果转化为方向，促进科技成果向具体产品或服务转化，通过技术认定或科研成果转化的科研项目占比大幅度提升。持续做好科技特派队伍建设，为区域产业服务。</w:t>
      </w:r>
    </w:p>
    <w:p>
      <w:pPr>
        <w:keepNext w:val="0"/>
        <w:keepLines w:val="0"/>
        <w:pageBreakBefore w:val="0"/>
        <w:widowControl/>
        <w:kinsoku/>
        <w:wordWrap/>
        <w:overflowPunct/>
        <w:topLinePunct w:val="0"/>
        <w:autoSpaceDE/>
        <w:autoSpaceDN/>
        <w:bidi w:val="0"/>
        <w:adjustRightInd/>
        <w:snapToGrid/>
        <w:spacing w:line="400" w:lineRule="exact"/>
        <w:ind w:firstLine="640" w:firstLineChars="200"/>
        <w:jc w:val="left"/>
        <w:textAlignment w:val="auto"/>
        <w:rPr>
          <w:rFonts w:ascii="宋体" w:hAnsi="宋体" w:eastAsia="宋体" w:cs="宋体"/>
          <w:sz w:val="24"/>
        </w:rPr>
      </w:pPr>
      <w:r>
        <w:rPr>
          <w:rFonts w:hint="eastAsia" w:ascii="仿宋_GB2312" w:hAnsi="仿宋_GB2312" w:eastAsia="仿宋_GB2312" w:cs="仿宋_GB2312"/>
          <w:sz w:val="32"/>
          <w:szCs w:val="32"/>
        </w:rPr>
        <w:br w:type="page"/>
      </w:r>
    </w:p>
    <w:p>
      <w:pPr>
        <w:pStyle w:val="7"/>
        <w:ind w:firstLine="400"/>
      </w:pPr>
      <w:r>
        <w:drawing>
          <wp:anchor distT="0" distB="0" distL="114300" distR="114300" simplePos="0" relativeHeight="251662336" behindDoc="0" locked="0" layoutInCell="1" allowOverlap="1">
            <wp:simplePos x="0" y="0"/>
            <wp:positionH relativeFrom="column">
              <wp:posOffset>-1143000</wp:posOffset>
            </wp:positionH>
            <wp:positionV relativeFrom="paragraph">
              <wp:posOffset>-801370</wp:posOffset>
            </wp:positionV>
            <wp:extent cx="7571105" cy="10990580"/>
            <wp:effectExtent l="0" t="0" r="1270" b="1079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7571105" cy="10990580"/>
                    </a:xfrm>
                    <a:prstGeom prst="rect">
                      <a:avLst/>
                    </a:prstGeom>
                    <a:noFill/>
                    <a:ln>
                      <a:noFill/>
                    </a:ln>
                  </pic:spPr>
                </pic:pic>
              </a:graphicData>
            </a:graphic>
          </wp:anchor>
        </w:drawing>
      </w: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122E5A-9385-4F55-A178-F544AADDDC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BB91DAFD-E0EC-4252-99FF-BBFFD155A1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sz w:val="22"/>
        <w:szCs w:val="36"/>
      </w:rPr>
    </w:pPr>
    <w: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-127000</wp:posOffset>
              </wp:positionV>
              <wp:extent cx="2318385" cy="459105"/>
              <wp:effectExtent l="0" t="0" r="5715" b="10795"/>
              <wp:wrapNone/>
              <wp:docPr id="12" name="文本框 12"/>
              <wp:cNvGraphicFramePr/>
              <a:graphic xmlns:a="http://schemas.openxmlformats.org/drawingml/2006/main">
                <a:graphicData uri="http://schemas.microsoft.com/office/word/2010/wordprocessingShape">
                  <wps:wsp>
                    <wps:cNvSpPr txBox="1"/>
                    <wps:spPr>
                      <a:xfrm>
                        <a:off x="1259205" y="604520"/>
                        <a:ext cx="2318385" cy="4591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661795" cy="325755"/>
                                <wp:effectExtent l="0" t="0" r="0" b="3810"/>
                                <wp:docPr id="9" name="图片 1" descr="D:\00000泉州职业技术大学\2019泉州职业技术大学logo\泉州职业技术大学 定稿版（最终已修png）C：70 M：0 Y：36 K：0  投影.png泉州职业技术大学 定稿版（最终已修png）C：70 M：0 Y：36 K：0  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00000泉州职业技术大学\2019泉州职业技术大学logo\泉州职业技术大学 定稿版（最终已修png）C：70 M：0 Y：36 K：0  投影.png泉州职业技术大学 定稿版（最终已修png）C：70 M：0 Y：36 K：0  投影"/>
                                        <pic:cNvPicPr>
                                          <a:picLocks noChangeAspect="1"/>
                                        </pic:cNvPicPr>
                                      </pic:nvPicPr>
                                      <pic:blipFill>
                                        <a:blip r:embed="rId1"/>
                                        <a:stretch>
                                          <a:fillRect/>
                                        </a:stretch>
                                      </pic:blipFill>
                                      <pic:spPr>
                                        <a:xfrm>
                                          <a:off x="0" y="0"/>
                                          <a:ext cx="1661795" cy="325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pt;height:36.15pt;width:182.55pt;z-index:251660288;mso-width-relative:page;mso-height-relative:page;" fillcolor="#FFFFFF [3201]" filled="t" stroked="f" coordsize="21600,21600" o:gfxdata="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PSa9DUAAAA&#10;CAEAAA8AAAAAAAAAAQAgAAAAIgAAAGRycy9kb3ducmV2LnhtbFBLAQIUABQAAAAIAIdO4kDPbYnN&#10;WgIAAJwEAAAOAAAAAAAAAAEAIAAAACMBAABkcnMvZTJvRG9jLnhtbFBLBQYAAAAABgAGAFkBAADv&#10;BQAAAAA=&#10;">
              <v:fill on="t" focussize="0,0"/>
              <v:stroke on="f" weight="0.5pt"/>
              <v:imagedata o:title=""/>
              <o:lock v:ext="edit" aspectratio="f"/>
              <v:textbox>
                <w:txbxContent>
                  <w:p>
                    <w:r>
                      <w:drawing>
                        <wp:inline distT="0" distB="0" distL="114300" distR="114300">
                          <wp:extent cx="1661795" cy="325755"/>
                          <wp:effectExtent l="0" t="0" r="0" b="3810"/>
                          <wp:docPr id="9" name="图片 1" descr="D:\00000泉州职业技术大学\2019泉州职业技术大学logo\泉州职业技术大学 定稿版（最终已修png）C：70 M：0 Y：36 K：0  投影.png泉州职业技术大学 定稿版（最终已修png）C：70 M：0 Y：36 K：0  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00000泉州职业技术大学\2019泉州职业技术大学logo\泉州职业技术大学 定稿版（最终已修png）C：70 M：0 Y：36 K：0  投影.png泉州职业技术大学 定稿版（最终已修png）C：70 M：0 Y：36 K：0  投影"/>
                                  <pic:cNvPicPr>
                                    <a:picLocks noChangeAspect="1"/>
                                  </pic:cNvPicPr>
                                </pic:nvPicPr>
                                <pic:blipFill>
                                  <a:blip r:embed="rId1"/>
                                  <a:stretch>
                                    <a:fillRect/>
                                  </a:stretch>
                                </pic:blipFill>
                                <pic:spPr>
                                  <a:xfrm>
                                    <a:off x="0" y="0"/>
                                    <a:ext cx="1661795" cy="325755"/>
                                  </a:xfrm>
                                  <a:prstGeom prst="rect">
                                    <a:avLst/>
                                  </a:prstGeom>
                                  <a:noFill/>
                                  <a:ln>
                                    <a:noFill/>
                                  </a:ln>
                                </pic:spPr>
                              </pic:pic>
                            </a:graphicData>
                          </a:graphic>
                        </wp:inline>
                      </w:drawing>
                    </w:r>
                  </w:p>
                </w:txbxContent>
              </v:textbox>
            </v:shape>
          </w:pict>
        </mc:Fallback>
      </mc:AlternateContent>
    </w:r>
    <w:r>
      <w:rPr>
        <w:rFonts w:hint="eastAsia"/>
        <w:sz w:val="22"/>
        <w:szCs w:val="36"/>
      </w:rPr>
      <w:t>2021-2022学年本科教学质量报告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EB68D"/>
    <w:multiLevelType w:val="singleLevel"/>
    <w:tmpl w:val="AC9EB68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kZjdkZjMyNzg1NTRmMWU0MzgwYzI1MjJlMTU1MjAifQ=="/>
    <w:docVar w:name="KSO_WPS_MARK_KEY" w:val="141ce025-9462-4e4c-8f32-1756d4132218"/>
  </w:docVars>
  <w:rsids>
    <w:rsidRoot w:val="73403FD5"/>
    <w:rsid w:val="00013E44"/>
    <w:rsid w:val="000543C3"/>
    <w:rsid w:val="000B726D"/>
    <w:rsid w:val="00100675"/>
    <w:rsid w:val="00135172"/>
    <w:rsid w:val="00184BD5"/>
    <w:rsid w:val="001C56E4"/>
    <w:rsid w:val="00236E33"/>
    <w:rsid w:val="0024330C"/>
    <w:rsid w:val="002572D7"/>
    <w:rsid w:val="0029320D"/>
    <w:rsid w:val="00323CAB"/>
    <w:rsid w:val="00360FFC"/>
    <w:rsid w:val="0036329B"/>
    <w:rsid w:val="003652B5"/>
    <w:rsid w:val="00393478"/>
    <w:rsid w:val="00394A80"/>
    <w:rsid w:val="003A2FF7"/>
    <w:rsid w:val="004A4C02"/>
    <w:rsid w:val="005D64EB"/>
    <w:rsid w:val="005E2CCE"/>
    <w:rsid w:val="006420C8"/>
    <w:rsid w:val="00660297"/>
    <w:rsid w:val="006B2702"/>
    <w:rsid w:val="0071772D"/>
    <w:rsid w:val="007B5EB7"/>
    <w:rsid w:val="007D66DE"/>
    <w:rsid w:val="008179E9"/>
    <w:rsid w:val="00836587"/>
    <w:rsid w:val="008E0B05"/>
    <w:rsid w:val="00907602"/>
    <w:rsid w:val="00932FCE"/>
    <w:rsid w:val="00942E5F"/>
    <w:rsid w:val="009A5B21"/>
    <w:rsid w:val="00A65830"/>
    <w:rsid w:val="00B3669F"/>
    <w:rsid w:val="00B611E7"/>
    <w:rsid w:val="00B7537C"/>
    <w:rsid w:val="00BF01C4"/>
    <w:rsid w:val="00C12F17"/>
    <w:rsid w:val="00C53AEB"/>
    <w:rsid w:val="00C9224A"/>
    <w:rsid w:val="00C93056"/>
    <w:rsid w:val="00C95D18"/>
    <w:rsid w:val="00CF4B02"/>
    <w:rsid w:val="00D2278B"/>
    <w:rsid w:val="00D27065"/>
    <w:rsid w:val="00D33E1B"/>
    <w:rsid w:val="00DA230B"/>
    <w:rsid w:val="00DB6464"/>
    <w:rsid w:val="00E14759"/>
    <w:rsid w:val="00E76ACA"/>
    <w:rsid w:val="00EA367B"/>
    <w:rsid w:val="00EB7048"/>
    <w:rsid w:val="00EC3B01"/>
    <w:rsid w:val="00EC730F"/>
    <w:rsid w:val="00F84DE6"/>
    <w:rsid w:val="01667089"/>
    <w:rsid w:val="03165668"/>
    <w:rsid w:val="033D2434"/>
    <w:rsid w:val="05D65FD3"/>
    <w:rsid w:val="08E2298D"/>
    <w:rsid w:val="0A9F7D79"/>
    <w:rsid w:val="0C4274CE"/>
    <w:rsid w:val="10914224"/>
    <w:rsid w:val="111515D1"/>
    <w:rsid w:val="13E92070"/>
    <w:rsid w:val="14B45180"/>
    <w:rsid w:val="15B10310"/>
    <w:rsid w:val="174D71BB"/>
    <w:rsid w:val="17E25944"/>
    <w:rsid w:val="19370665"/>
    <w:rsid w:val="199C5D44"/>
    <w:rsid w:val="1A141D7E"/>
    <w:rsid w:val="1ADE1BE3"/>
    <w:rsid w:val="1DC87E94"/>
    <w:rsid w:val="1E992FEE"/>
    <w:rsid w:val="1ED16490"/>
    <w:rsid w:val="203171E6"/>
    <w:rsid w:val="20CF2F7B"/>
    <w:rsid w:val="22D30A28"/>
    <w:rsid w:val="240F1D91"/>
    <w:rsid w:val="24FD7FDE"/>
    <w:rsid w:val="26795443"/>
    <w:rsid w:val="26895732"/>
    <w:rsid w:val="29586390"/>
    <w:rsid w:val="29AA7197"/>
    <w:rsid w:val="29FA61C8"/>
    <w:rsid w:val="2A0B2352"/>
    <w:rsid w:val="2A391237"/>
    <w:rsid w:val="2A6728C4"/>
    <w:rsid w:val="2A723C40"/>
    <w:rsid w:val="2B150495"/>
    <w:rsid w:val="2E41718E"/>
    <w:rsid w:val="2FBA102A"/>
    <w:rsid w:val="30564821"/>
    <w:rsid w:val="30902E37"/>
    <w:rsid w:val="30CE6CD3"/>
    <w:rsid w:val="31771119"/>
    <w:rsid w:val="319E2473"/>
    <w:rsid w:val="32FD2A2C"/>
    <w:rsid w:val="330A03BD"/>
    <w:rsid w:val="34E84BE4"/>
    <w:rsid w:val="351C000D"/>
    <w:rsid w:val="35747E49"/>
    <w:rsid w:val="360A63C0"/>
    <w:rsid w:val="3613212A"/>
    <w:rsid w:val="3CAE19DC"/>
    <w:rsid w:val="3D801355"/>
    <w:rsid w:val="3EBF114C"/>
    <w:rsid w:val="3F3D5750"/>
    <w:rsid w:val="40E67721"/>
    <w:rsid w:val="41357BF0"/>
    <w:rsid w:val="416E357D"/>
    <w:rsid w:val="437B23A2"/>
    <w:rsid w:val="4594599D"/>
    <w:rsid w:val="45B261B2"/>
    <w:rsid w:val="46FF153C"/>
    <w:rsid w:val="49790B85"/>
    <w:rsid w:val="49B67315"/>
    <w:rsid w:val="4A5D0E1B"/>
    <w:rsid w:val="4BD27220"/>
    <w:rsid w:val="4C2D31CE"/>
    <w:rsid w:val="4CB03127"/>
    <w:rsid w:val="4CD80866"/>
    <w:rsid w:val="4D5A0B6E"/>
    <w:rsid w:val="4D807003"/>
    <w:rsid w:val="4DDE701B"/>
    <w:rsid w:val="4F467EA4"/>
    <w:rsid w:val="52B06B82"/>
    <w:rsid w:val="533A3201"/>
    <w:rsid w:val="54890697"/>
    <w:rsid w:val="559B0682"/>
    <w:rsid w:val="56190BC7"/>
    <w:rsid w:val="56586573"/>
    <w:rsid w:val="56DD06E3"/>
    <w:rsid w:val="57D1482F"/>
    <w:rsid w:val="57D92987"/>
    <w:rsid w:val="589C0C55"/>
    <w:rsid w:val="58CC4704"/>
    <w:rsid w:val="592B7B7D"/>
    <w:rsid w:val="5A106AFE"/>
    <w:rsid w:val="5A1D7413"/>
    <w:rsid w:val="5B840E6E"/>
    <w:rsid w:val="5C58746F"/>
    <w:rsid w:val="5C655AEA"/>
    <w:rsid w:val="5CB84210"/>
    <w:rsid w:val="5D2C1490"/>
    <w:rsid w:val="61707F91"/>
    <w:rsid w:val="62294D53"/>
    <w:rsid w:val="63016189"/>
    <w:rsid w:val="63E30CAD"/>
    <w:rsid w:val="646218AD"/>
    <w:rsid w:val="65D61E44"/>
    <w:rsid w:val="66441F15"/>
    <w:rsid w:val="66CE3094"/>
    <w:rsid w:val="67053934"/>
    <w:rsid w:val="673A7802"/>
    <w:rsid w:val="67B17AF9"/>
    <w:rsid w:val="6BEF307E"/>
    <w:rsid w:val="6D3D3325"/>
    <w:rsid w:val="6EE43D75"/>
    <w:rsid w:val="6F060AFF"/>
    <w:rsid w:val="708B5A6B"/>
    <w:rsid w:val="709146A4"/>
    <w:rsid w:val="711F5670"/>
    <w:rsid w:val="7302081E"/>
    <w:rsid w:val="73403FD5"/>
    <w:rsid w:val="746F7452"/>
    <w:rsid w:val="7705384D"/>
    <w:rsid w:val="7767128C"/>
    <w:rsid w:val="781014DF"/>
    <w:rsid w:val="7A6E79B2"/>
    <w:rsid w:val="7CD3391C"/>
    <w:rsid w:val="7EB66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rFonts w:eastAsia="黑体"/>
      <w:b/>
      <w:kern w:val="44"/>
      <w:sz w:val="32"/>
    </w:rPr>
  </w:style>
  <w:style w:type="paragraph" w:styleId="2">
    <w:name w:val="heading 2"/>
    <w:basedOn w:val="1"/>
    <w:next w:val="1"/>
    <w:link w:val="24"/>
    <w:unhideWhenUsed/>
    <w:qFormat/>
    <w:uiPriority w:val="0"/>
    <w:pPr>
      <w:keepNext/>
      <w:keepLines/>
      <w:spacing w:before="260" w:after="260" w:line="413" w:lineRule="auto"/>
      <w:outlineLvl w:val="1"/>
    </w:pPr>
    <w:rPr>
      <w:rFonts w:ascii="Arial" w:hAnsi="Arial" w:eastAsia="楷体"/>
      <w:b/>
      <w:sz w:val="32"/>
    </w:rPr>
  </w:style>
  <w:style w:type="paragraph" w:styleId="4">
    <w:name w:val="heading 3"/>
    <w:basedOn w:val="1"/>
    <w:next w:val="1"/>
    <w:qFormat/>
    <w:uiPriority w:val="1"/>
    <w:pPr>
      <w:spacing w:before="3"/>
      <w:ind w:left="1103"/>
      <w:outlineLvl w:val="2"/>
    </w:pPr>
    <w:rPr>
      <w:rFonts w:ascii="宋体" w:hAnsi="宋体" w:eastAsia="宋体" w:cs="宋体"/>
      <w:b/>
      <w:bCs/>
      <w:sz w:val="24"/>
      <w:lang w:val="zh-CN" w:bidi="zh-CN"/>
    </w:rPr>
  </w:style>
  <w:style w:type="paragraph" w:styleId="5">
    <w:name w:val="heading 4"/>
    <w:basedOn w:val="1"/>
    <w:next w:val="1"/>
    <w:qFormat/>
    <w:uiPriority w:val="1"/>
    <w:pPr>
      <w:ind w:left="300"/>
      <w:outlineLvl w:val="3"/>
    </w:pPr>
    <w:rPr>
      <w:rFonts w:ascii="宋体" w:hAnsi="宋体" w:eastAsia="宋体" w:cs="宋体"/>
      <w:sz w:val="36"/>
      <w:szCs w:val="36"/>
      <w:lang w:val="zh-CN" w:bidi="zh-CN"/>
    </w:rPr>
  </w:style>
  <w:style w:type="paragraph" w:styleId="6">
    <w:name w:val="heading 6"/>
    <w:basedOn w:val="1"/>
    <w:next w:val="1"/>
    <w:qFormat/>
    <w:uiPriority w:val="1"/>
    <w:pPr>
      <w:ind w:left="1066" w:hanging="423"/>
      <w:outlineLvl w:val="5"/>
    </w:pPr>
    <w:rPr>
      <w:rFonts w:ascii="仿宋" w:hAnsi="仿宋" w:eastAsia="仿宋" w:cs="仿宋"/>
      <w:b/>
      <w:bCs/>
      <w:sz w:val="28"/>
      <w:szCs w:val="28"/>
      <w:lang w:val="zh-CN" w:bidi="zh-CN"/>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kern w:val="0"/>
      <w:sz w:val="20"/>
    </w:rPr>
  </w:style>
  <w:style w:type="paragraph" w:styleId="8">
    <w:name w:val="toa heading"/>
    <w:basedOn w:val="1"/>
    <w:next w:val="1"/>
    <w:qFormat/>
    <w:uiPriority w:val="0"/>
    <w:pPr>
      <w:spacing w:before="120"/>
    </w:pPr>
    <w:rPr>
      <w:rFonts w:ascii="Arial" w:hAnsi="Arial"/>
      <w:sz w:val="24"/>
    </w:rPr>
  </w:style>
  <w:style w:type="paragraph" w:styleId="9">
    <w:name w:val="annotation text"/>
    <w:basedOn w:val="1"/>
    <w:link w:val="30"/>
    <w:qFormat/>
    <w:uiPriority w:val="0"/>
    <w:pPr>
      <w:jc w:val="left"/>
    </w:pPr>
  </w:style>
  <w:style w:type="paragraph" w:styleId="10">
    <w:name w:val="Body Text"/>
    <w:basedOn w:val="1"/>
    <w:qFormat/>
    <w:uiPriority w:val="0"/>
    <w:pPr>
      <w:spacing w:after="120"/>
    </w:pPr>
  </w:style>
  <w:style w:type="paragraph" w:styleId="11">
    <w:name w:val="Plain Text"/>
    <w:basedOn w:val="1"/>
    <w:qFormat/>
    <w:uiPriority w:val="0"/>
    <w:rPr>
      <w:rFonts w:ascii="宋体" w:hAnsi="Courier New" w:eastAsia="Times New Roman"/>
      <w:szCs w:val="21"/>
    </w:rPr>
  </w:style>
  <w:style w:type="paragraph" w:styleId="12">
    <w:name w:val="Balloon Text"/>
    <w:basedOn w:val="1"/>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annotation subject"/>
    <w:basedOn w:val="9"/>
    <w:next w:val="9"/>
    <w:link w:val="31"/>
    <w:qFormat/>
    <w:uiPriority w:val="0"/>
    <w:rPr>
      <w:b/>
      <w:bCs/>
    </w:rPr>
  </w:style>
  <w:style w:type="paragraph" w:styleId="19">
    <w:name w:val="Body Text First Indent"/>
    <w:basedOn w:val="10"/>
    <w:qFormat/>
    <w:uiPriority w:val="0"/>
    <w:pPr>
      <w:ind w:firstLine="420" w:firstLineChars="100"/>
    </w:pPr>
    <w:rPr>
      <w:rFonts w:ascii="Calibri" w:hAnsi="Calibri" w:eastAsia="宋体"/>
      <w:kern w:val="0"/>
      <w:sz w:val="20"/>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qFormat/>
    <w:uiPriority w:val="0"/>
    <w:rPr>
      <w:sz w:val="21"/>
      <w:szCs w:val="21"/>
    </w:rPr>
  </w:style>
  <w:style w:type="character" w:customStyle="1" w:styleId="24">
    <w:name w:val="标题 2 字符"/>
    <w:link w:val="2"/>
    <w:qFormat/>
    <w:uiPriority w:val="0"/>
    <w:rPr>
      <w:rFonts w:ascii="Arial" w:hAnsi="Arial" w:eastAsia="楷体"/>
      <w:b/>
      <w:sz w:val="32"/>
    </w:rPr>
  </w:style>
  <w:style w:type="paragraph" w:customStyle="1" w:styleId="25">
    <w:name w:val="WPSOffice手动目录 1"/>
    <w:qFormat/>
    <w:uiPriority w:val="0"/>
    <w:rPr>
      <w:rFonts w:asciiTheme="minorHAnsi" w:hAnsiTheme="minorHAnsi" w:eastAsiaTheme="minorEastAsia" w:cstheme="minorBidi"/>
      <w:lang w:val="en-US" w:eastAsia="zh-CN" w:bidi="ar-SA"/>
    </w:rPr>
  </w:style>
  <w:style w:type="paragraph" w:customStyle="1" w:styleId="2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7">
    <w:name w:val="Acetate"/>
    <w:basedOn w:val="1"/>
    <w:semiHidden/>
    <w:qFormat/>
    <w:uiPriority w:val="0"/>
    <w:pPr>
      <w:textAlignment w:val="baseline"/>
    </w:pPr>
    <w:rPr>
      <w:rFonts w:ascii="Calibri" w:hAnsi="Calibri" w:eastAsia="宋体"/>
      <w:sz w:val="18"/>
      <w:szCs w:val="18"/>
    </w:rPr>
  </w:style>
  <w:style w:type="paragraph" w:customStyle="1" w:styleId="28">
    <w:name w:val="正文首行缩进 21"/>
    <w:basedOn w:val="1"/>
    <w:qFormat/>
    <w:uiPriority w:val="0"/>
    <w:pPr>
      <w:spacing w:after="120"/>
      <w:ind w:left="420" w:leftChars="200" w:firstLine="420" w:firstLineChars="200"/>
    </w:pPr>
  </w:style>
  <w:style w:type="paragraph" w:styleId="29">
    <w:name w:val="List Paragraph"/>
    <w:basedOn w:val="1"/>
    <w:qFormat/>
    <w:uiPriority w:val="1"/>
    <w:pPr>
      <w:spacing w:before="163"/>
      <w:ind w:left="2120" w:hanging="362"/>
    </w:pPr>
    <w:rPr>
      <w:rFonts w:ascii="仿宋" w:hAnsi="仿宋" w:eastAsia="仿宋" w:cs="仿宋"/>
      <w:lang w:val="zh-CN" w:bidi="zh-CN"/>
    </w:rPr>
  </w:style>
  <w:style w:type="character" w:customStyle="1" w:styleId="30">
    <w:name w:val="批注文字 字符"/>
    <w:basedOn w:val="22"/>
    <w:link w:val="9"/>
    <w:qFormat/>
    <w:uiPriority w:val="0"/>
    <w:rPr>
      <w:rFonts w:asciiTheme="minorHAnsi" w:hAnsiTheme="minorHAnsi" w:eastAsiaTheme="minorEastAsia" w:cstheme="minorBidi"/>
      <w:kern w:val="2"/>
      <w:sz w:val="21"/>
      <w:szCs w:val="24"/>
    </w:rPr>
  </w:style>
  <w:style w:type="character" w:customStyle="1" w:styleId="31">
    <w:name w:val="批注主题 字符"/>
    <w:basedOn w:val="30"/>
    <w:link w:val="18"/>
    <w:qFormat/>
    <w:uiPriority w:val="0"/>
    <w:rPr>
      <w:rFonts w:asciiTheme="minorHAnsi" w:hAnsiTheme="minorHAnsi" w:eastAsiaTheme="minorEastAsia" w:cstheme="minorBidi"/>
      <w:b/>
      <w:bCs/>
      <w:kern w:val="2"/>
      <w:sz w:val="21"/>
      <w:szCs w:val="24"/>
    </w:rPr>
  </w:style>
  <w:style w:type="paragraph" w:customStyle="1" w:styleId="32">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24030</Words>
  <Characters>26038</Characters>
  <Lines>218</Lines>
  <Paragraphs>61</Paragraphs>
  <TotalTime>2</TotalTime>
  <ScaleCrop>false</ScaleCrop>
  <LinksUpToDate>false</LinksUpToDate>
  <CharactersWithSpaces>26218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朱婷</cp:lastModifiedBy>
  <dcterms:modified xsi:type="dcterms:W3CDTF">2022-12-19T01:52:40Z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B2A3CC8E58AD47A2A93B61179A4D5312</vt:lpwstr>
  </property>
</Properties>
</file>